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989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8919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AKKARAJU SRINIVAS</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gridSpan w:val="7"/>
          </w:tcPr>
          <w:p>
            <w:pPr>
              <w:spacing w:after="0" w:line="182" w:lineRule="exact"/>
              <w:rPr>
                <w:rFonts w:ascii="Times New Roman" w:cs="Times New Roman" w:eastAsia="Times New Roman" w:hAnsi="Times New Roman"/>
                <w:sz w:val="21"/>
                <w:szCs w:val="21"/>
                <w:color w:val="0000EE"/>
                <w:w w:val="99"/>
              </w:rPr>
            </w:pPr>
            <w:hyperlink r:id="rId14">
              <w:r>
                <w:rPr>
                  <w:rFonts w:ascii="Times New Roman" w:cs="Times New Roman" w:eastAsia="Times New Roman" w:hAnsi="Times New Roman"/>
                  <w:sz w:val="21"/>
                  <w:szCs w:val="21"/>
                  <w:color w:val="0000EE"/>
                  <w:w w:val="99"/>
                </w:rPr>
                <w:t xml:space="preserve">Kalaris Therapeutics, Inc. </w:t>
              </w:r>
            </w:hyperlink>
            <w:r>
              <w:rPr>
                <w:rFonts w:ascii="Times New Roman" w:cs="Times New Roman" w:eastAsia="Times New Roman" w:hAnsi="Times New Roman"/>
                <w:sz w:val="21"/>
                <w:szCs w:val="21"/>
                <w:color w:val="000000"/>
                <w:w w:val="99"/>
              </w:rPr>
              <w:t>[</w:t>
            </w:r>
            <w:r>
              <w:rPr>
                <w:rFonts w:ascii="Times New Roman" w:cs="Times New Roman" w:eastAsia="Times New Roman" w:hAnsi="Times New Roman"/>
                <w:sz w:val="21"/>
                <w:szCs w:val="21"/>
                <w:color w:val="0000EE"/>
                <w:w w:val="99"/>
              </w:rPr>
              <w:t xml:space="preserve"> </w:t>
            </w:r>
            <w:r>
              <w:rPr>
                <w:rFonts w:ascii="Times New Roman" w:cs="Times New Roman" w:eastAsia="Times New Roman" w:hAnsi="Times New Roman"/>
                <w:sz w:val="16"/>
                <w:szCs w:val="16"/>
                <w:color w:val="0000FF"/>
                <w:w w:val="99"/>
              </w:rPr>
              <w:t>KLRS</w:t>
            </w:r>
            <w:r>
              <w:rPr>
                <w:rFonts w:ascii="Times New Roman" w:cs="Times New Roman" w:eastAsia="Times New Roman" w:hAnsi="Times New Roman"/>
                <w:sz w:val="21"/>
                <w:szCs w:val="21"/>
                <w:color w:val="0000EE"/>
                <w:w w:val="99"/>
              </w:rPr>
              <w:t xml:space="preserve"> </w:t>
            </w:r>
            <w:r>
              <w:rPr>
                <w:rFonts w:ascii="Times New Roman" w:cs="Times New Roman" w:eastAsia="Times New Roman" w:hAnsi="Times New Roman"/>
                <w:sz w:val="21"/>
                <w:szCs w:val="21"/>
                <w:color w:val="000000"/>
                <w:w w:val="99"/>
              </w:rPr>
              <w:t>]</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vMerge w:val="restart"/>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680" w:type="dxa"/>
            <w:vAlign w:val="bottom"/>
            <w:tcBorders>
              <w:top w:val="single" w:sz="8" w:color="EEEEEE"/>
            </w:tcBorders>
          </w:tcPr>
          <w:p>
            <w:pPr>
              <w:spacing w:after="0"/>
              <w:rPr>
                <w:sz w:val="3"/>
                <w:szCs w:val="3"/>
                <w:color w:val="auto"/>
              </w:rPr>
            </w:pPr>
          </w:p>
        </w:tc>
        <w:tc>
          <w:tcPr>
            <w:tcW w:w="32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5"/>
                <w:szCs w:val="15"/>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KALARIS THERAPEUTICS, INC.</w:t>
            </w:r>
          </w:p>
        </w:tc>
        <w:tc>
          <w:tcPr>
            <w:tcW w:w="126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06/03/2026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400 CONNELL DRIVE, SUITE 5500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2"/>
                <w:szCs w:val="12"/>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BERKELEY</w:t>
            </w: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5"/>
              </w:rPr>
              <w:t>NJ</w:t>
            </w: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07922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HEIGHTS</w:t>
            </w:r>
          </w:p>
        </w:tc>
        <w:tc>
          <w:tcPr>
            <w:tcW w:w="24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gridSpan w:val="2"/>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6500" w:type="dxa"/>
            <w:vAlign w:val="bottom"/>
            <w:tcBorders>
              <w:top w:val="single" w:sz="8" w:color="2C2C2C"/>
            </w:tcBorders>
            <w:gridSpan w:val="18"/>
          </w:tcPr>
          <w:p>
            <w:pPr>
              <w:ind w:left="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100" w:type="dxa"/>
            <w:vAlign w:val="bottom"/>
            <w:tcBorders>
              <w:bottom w:val="single" w:sz="8" w:color="2C2C2C"/>
            </w:tcBorders>
            <w:gridSpan w:val="4"/>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4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2540" w:type="dxa"/>
            <w:vAlign w:val="bottom"/>
            <w:tcBorders>
              <w:bottom w:val="single" w:sz="8" w:color="2C2C2C"/>
            </w:tcBorders>
            <w:gridSpan w:val="6"/>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8"/>
          </w:tcPr>
          <w:p>
            <w:pPr>
              <w:ind w:left="2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4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5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4.72</w:t>
            </w:r>
          </w:p>
        </w:tc>
        <w:tc>
          <w:tcPr>
            <w:tcW w:w="240" w:type="dxa"/>
            <w:vAlign w:val="bottom"/>
          </w:tcPr>
          <w:p>
            <w:pPr>
              <w:spacing w:after="0"/>
              <w:rPr>
                <w:sz w:val="16"/>
                <w:szCs w:val="16"/>
                <w:color w:val="auto"/>
              </w:rPr>
            </w:pPr>
          </w:p>
        </w:tc>
        <w:tc>
          <w:tcPr>
            <w:tcW w:w="100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0000FF"/>
              </w:rPr>
              <w:t>06/03/2026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9,000</w:t>
            </w:r>
          </w:p>
        </w:tc>
        <w:tc>
          <w:tcPr>
            <w:tcW w:w="340" w:type="dxa"/>
            <w:vAlign w:val="bottom"/>
          </w:tcPr>
          <w:p>
            <w:pPr>
              <w:spacing w:after="0"/>
              <w:rPr>
                <w:sz w:val="16"/>
                <w:szCs w:val="16"/>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06/02/2036</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9,000</w:t>
            </w:r>
          </w:p>
        </w:tc>
        <w:tc>
          <w:tcPr>
            <w:tcW w:w="20" w:type="dxa"/>
            <w:vAlign w:val="bottom"/>
          </w:tcPr>
          <w:p>
            <w:pPr>
              <w:spacing w:after="0"/>
              <w:rPr>
                <w:sz w:val="16"/>
                <w:szCs w:val="16"/>
                <w:color w:val="auto"/>
              </w:rPr>
            </w:pPr>
          </w:p>
        </w:tc>
        <w:tc>
          <w:tcPr>
            <w:tcW w:w="74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9,000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0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granted on June 3, 2026. The shares underlying the option are scheduled to vest in full on the earlier of (i) June 3, 2027 or (ii) the date of the Issuer's 2027 Annual Meeting of Stockholders, subject to continued service.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Brett Hagen, Attorney-in-</w:t>
            </w:r>
          </w:p>
        </w:tc>
        <w:tc>
          <w:tcPr>
            <w:tcW w:w="12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06/04/2026</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7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53170" TargetMode="External"/><Relationship Id="rId14" Type="http://schemas.openxmlformats.org/officeDocument/2006/relationships/hyperlink" Target="http://www.sec.gov/cgi-bin/browse-edgar?action=getcompany&amp;CIK=00017540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2026-06-04T15:34:25Z</dcterms:created>
  <dcterms:modified xsi:type="dcterms:W3CDTF">2026-06-04T15:34:25Z</dcterms:modified>
</cp:coreProperties>
</file>