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Hallal David</w:t>
              </w:r>
            </w:hyperlink>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line="182"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Kalaris Therapeutics,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KLRS</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KALARIS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06/03/2026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400 CONNELL DRIVE, SUITE 5500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BERKELEY</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5"/>
              </w:rPr>
              <w:t>NJ</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HEIGHTS</w:t>
            </w:r>
          </w:p>
        </w:tc>
        <w:tc>
          <w:tcPr>
            <w:tcW w:w="2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4.72</w:t>
            </w:r>
          </w:p>
        </w:tc>
        <w:tc>
          <w:tcPr>
            <w:tcW w:w="24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06/02/2036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3, 2026. The shares underlying the option are scheduled to vest in full on the earlier of (i) June 3, 2027 or (ii) the date of the Issuer's 2027 Annual Meeting of Stockholders, subject to continued service.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Brett Hagen,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7477" TargetMode="External"/><Relationship Id="rId14" Type="http://schemas.openxmlformats.org/officeDocument/2006/relationships/hyperlink" Target="http://www.sec.gov/cgi-bin/browse-edgar?action=getcompany&amp;CIK=0001754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2026-06-04T15:39:59Z</dcterms:created>
  <dcterms:modified xsi:type="dcterms:W3CDTF">2026-06-04T15:39:59Z</dcterms:modified>
</cp:coreProperties>
</file>