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klrs-20260630.htm"/>
      <w:bookmarkStart w:id="1" w:name="ksklrs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 to 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001-39409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KALARIS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87" w:type="dxa"/>
        <w:jc w:val="left"/>
        <w:tblInd w:w="0" w:type="dxa"/>
        <w:tblLayout w:type="fixed"/>
        <w:tblCellMar>
          <w:top w:w="28" w:type="dxa"/>
          <w:left w:w="28" w:type="dxa"/>
          <w:bottom w:w="28" w:type="dxa"/>
          <w:right w:w="28" w:type="dxa"/>
        </w:tblCellMar>
      </w:tblPr>
      <w:tblGrid>
        <w:gridCol w:w="2641"/>
        <w:gridCol w:w="1246"/>
      </w:tblGrid>
      <w:tr>
        <w:trPr/>
        <w:tc>
          <w:tcPr>
            <w:tcW w:w="26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83-1971007</w:t>
            </w:r>
          </w:p>
        </w:tc>
      </w:tr>
      <w:tr>
        <w:trPr/>
        <w:tc>
          <w:tcPr>
            <w:tcW w:w="26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400 Connell Drive, Suite 5500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Berkeley Heights, New Jersey</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07922</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(650) 249-2727</w:t>
      </w:r>
    </w:p>
    <w:p>
      <w:pPr>
        <w:pStyle w:val="TextBody"/>
        <w:pBdr>
          <w:bottom w:val="single" w:sz="4" w:space="1" w:color="000000"/>
        </w:pBdr>
        <w:bidi w:val="0"/>
        <w:spacing w:before="40" w:after="283"/>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270" w:type="dxa"/>
        <w:jc w:val="left"/>
        <w:tblInd w:w="0" w:type="dxa"/>
        <w:tblLayout w:type="fixed"/>
        <w:tblCellMar>
          <w:top w:w="28" w:type="dxa"/>
          <w:left w:w="28" w:type="dxa"/>
          <w:bottom w:w="28" w:type="dxa"/>
          <w:right w:w="28" w:type="dxa"/>
        </w:tblCellMar>
      </w:tblPr>
      <w:tblGrid>
        <w:gridCol w:w="3286"/>
        <w:gridCol w:w="146"/>
        <w:gridCol w:w="751"/>
        <w:gridCol w:w="146"/>
        <w:gridCol w:w="294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KLRS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4, 2026, the registrant had 23,804,981</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
        <w:gridCol w:w="8769"/>
        <w:gridCol w:w="572"/>
      </w:tblGrid>
      <w:tr>
        <w:trPr/>
        <w:tc>
          <w:tcPr>
            <w:tcW w:w="864" w:type="dxa"/>
            <w:tcBorders/>
            <w:vAlign w:val="center"/>
          </w:tcPr>
          <w:p>
            <w:pPr>
              <w:pStyle w:val="TableContents"/>
              <w:bidi w:val="0"/>
              <w:spacing w:before="0" w:after="283"/>
              <w:jc w:val="left"/>
              <w:rPr>
                <w:sz w:val="4"/>
                <w:szCs w:val="4"/>
              </w:rPr>
            </w:pPr>
            <w:r>
              <w:rPr>
                <w:sz w:val="4"/>
                <w:szCs w:val="4"/>
              </w:rPr>
            </w:r>
          </w:p>
        </w:tc>
        <w:tc>
          <w:tcPr>
            <w:tcW w:w="87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_regarding_forward">
              <w:r>
                <w:rPr>
                  <w:rStyle w:val="InternetLink"/>
                  <w:rFonts w:ascii="Times New Roman" w:hAnsi="Times New Roman"/>
                  <w:color w:val="0000FF"/>
                  <w:sz w:val="20"/>
                  <w:u w:val="single"/>
                </w:rPr>
                <w:t>Cautionary Note Regarding Forward Looking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_summary">
              <w:r>
                <w:rPr>
                  <w:rStyle w:val="InternetLink"/>
                  <w:rFonts w:ascii="Times New Roman" w:hAnsi="Times New Roman"/>
                  <w:color w:val="0000FF"/>
                  <w:sz w:val="20"/>
                  <w:u w:val="single"/>
                </w:rPr>
                <w:t>Risk Factors Summary</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operations">
              <w:r>
                <w:rPr>
                  <w:rStyle w:val="InternetLink"/>
                  <w:rFonts w:ascii="Times New Roman" w:hAnsi="Times New Roman"/>
                  <w:color w:val="0000FF"/>
                  <w:sz w:val="20"/>
                  <w:u w:val="single"/>
                </w:rPr>
                <w:t>Condensed Consolidated Statements of Operations and Comprehensive Loss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
              <w:r>
                <w:rPr>
                  <w:rStyle w:val="InternetLink"/>
                  <w:rFonts w:ascii="Times New Roman" w:hAnsi="Times New Roman"/>
                  <w:color w:val="0000FF"/>
                  <w:sz w:val="20"/>
                  <w:u w:val="single"/>
                </w:rPr>
                <w:t>Condensed Consolidated Statements of Redeemable Convertible Preferred Stock and Stockholders’ Equity (Deficit)</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of_stockholders_equity">
              <w:r>
                <w:rPr>
                  <w:rStyle w:val="InternetLink"/>
                  <w:rFonts w:ascii="Times New Roman" w:hAnsi="Times New Roman"/>
                  <w:color w:val="0000FF"/>
                  <w:sz w:val="20"/>
                  <w:u w:val="single"/>
                </w:rPr>
                <w:t>Condensed Consolidated Statements of Stockholders’ Equity (Deficit)</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the_unaudited_cond_consolidated">
              <w:r>
                <w:rPr>
                  <w:rStyle w:val="InternetLink"/>
                  <w:rFonts w:ascii="Times New Roman" w:hAnsi="Times New Roman"/>
                  <w:color w:val="0000FF"/>
                  <w:sz w:val="20"/>
                  <w:u w:val="single"/>
                </w:rPr>
                <w:t>Notes to the Unaudited Condensed Consolidated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cautionary_note_regarding_forward"/>
      <w:bookmarkEnd w:id="2"/>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the U.S. Private Securities Litigation Reform Act of 1995 and Section 21E of the Securities Exchange Act of 1934, as amended (the “Exchange Act”) that involve substantial risk and uncertainties.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statements, other than statements of historical fact, contained or incorporated by reference in this Quarterly Report, including statements regarding the strategy, future operations, future financial position,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These statements are based on current expectations and beliefs of our management, as well as assumptions made by, and information currently available to, our management, and are subject to risks and uncertainties. There can be no assurance that future developments affecting us will be those that we have anticipated. Forward-looking statements include, but are not limited to, statements concerning the following:</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future operations, including research and development activities;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strategy and focus;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development and commercial potential and potential benefits of our product candidate, including expectations around intellectual property protection;</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anticipated clinical drug development activities and related timelines, including the expected timing for announcement of data and other clinical results;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uncertainties associated with our product candidate, as well as risks associated with the clinical development and regulatory approval of our product candidate, including potential delays in the completion of clinical trials;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expectations regarding the therapeutic benefits, clinical potential and clinical development of TH103;</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risks related to our inability to obtain sufficient additional capital to continue to advance our product candidate;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uncertainties in obtaining successful clinical results for our product candidate and unexpected costs that may result therefrom;</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risks related to the failure to realize any value from any product candidates being developed and anticipated to be developed in light of inherent risks and difficulties involved in successfully bringing product candidates to market;</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ability to obtain, maintain, and protect intellectual property rights related to our product candidate;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changes in regulatory requirements and government incentives;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competitive position and expectations regarding developments and projections relating to our competitors and any competing therapies that are or become available;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adverse reactions or changes to business relationships resulting from the completion of our merger (the “Merger”) with AlloVir, Inc. (“AlloVir”);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risk of involvement in litigation, including securities class action litigation, that could divert the attention of our management, harm our business and for which we may not have sufficient insurance coverage to cover all costs and damages.</w:t>
      </w:r>
    </w:p>
    <w:p>
      <w:pPr>
        <w:pStyle w:val="TextBody"/>
        <w:bidi w:val="0"/>
        <w:spacing w:before="160" w:after="283"/>
        <w:jc w:val="left"/>
        <w:rPr>
          <w:rFonts w:ascii="Times New Roman" w:hAnsi="Times New Roman"/>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Quarterly Report under the heading “</w:t>
      </w:r>
      <w:r>
        <w:rPr>
          <w:rFonts w:ascii="Times New Roman" w:hAnsi="Times New Roman"/>
          <w:i/>
          <w:color w:val="000000"/>
          <w:sz w:val="20"/>
        </w:rPr>
        <w:t>Risk Factors</w:t>
      </w:r>
      <w:r>
        <w:rPr>
          <w:rFonts w:ascii="Times New Roman" w:hAnsi="Times New Roman"/>
          <w:color w:val="000000"/>
          <w:sz w:val="20"/>
        </w:rPr>
        <w:t>” in Part II, Item 1A. “Risk Factors” that we believe could cause actual results or events to differ materially from the forward-looking statements that we make. Moreover, we operate in a competitive and rapidly changing environment. New risk factors and uncertainties may emerge from time to time, and it is not possible for management to predict all risk factors and uncertainties, nor can management assess the impact of all factors on our business or the extent to which any factor, or combination of factors, may cause actual results to differ materially from those contained in any forward-looking statements we may make. You should read this Quarterly Report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this Quarterly Report, unless otherwise stated or the context otherwise requires, references to the “Company,” “Kalaris,” “we,” “us,” and “our” refer to Kalaris Therapeutics, Inc. (formerly AlloVir, Inc.) and its consolidated subsidiaries.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References to “Legacy Kalaris” refer to Kalaris Tx, Inc. (formerly Kalaris Therapeutics, Inc.) and references to “AlloVir” refer to AlloVir, Inc. prior to completion of the Merger.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3" w:name="risk_factors_summary"/>
      <w:bookmarkEnd w:id="3"/>
      <w:r>
        <w:rPr>
          <w:rFonts w:ascii="Times New Roman" w:hAnsi="Times New Roman"/>
          <w:b/>
          <w:color w:val="000000"/>
          <w:sz w:val="20"/>
        </w:rPr>
        <w:t>RISK</w:t>
      </w:r>
      <w:r>
        <w:rPr>
          <w:rFonts w:ascii="Times New Roman" w:hAnsi="Times New Roman"/>
          <w:color w:val="000000"/>
          <w:sz w:val="20"/>
        </w:rPr>
        <w:t xml:space="preserve"> </w:t>
      </w:r>
      <w:r>
        <w:rPr>
          <w:rFonts w:ascii="Times New Roman" w:hAnsi="Times New Roman"/>
          <w:b/>
          <w:color w:val="000000"/>
          <w:sz w:val="20"/>
        </w:rPr>
        <w:t>FACTORS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a number of risks that, if realized, could materially affect our business, prospects, operating results and financial condition. These risks are discussed more fully in the “Risk Factors” section of this Quarterly Report.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We expect to continue to incur significant expenses and operating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heavily dependent on the success of our lead product candidate, TH103, which will require significant clinical testing before we can seek marketing approval and potentially generate commercial sales. If TH103 does not receive marketing approval or is not successfully commercialized, or if there is significant delay in doing so,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for our continuing operations. If we are unable to raise capital when needed or on acceptable terms, we could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material weaknesses in our internal control over financial reporting and we may identify additional material weaknesses in the future or fail to maintain an effective system of internal control over financial reporting, which may result in material misstatements of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If we are unable to commercialize TH103 or any product candidate we may develop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early-stage clinical trials and preclinical studies may not be predictive of future results. Initial success in clinical trials may not be indicative of results obtained when these trials are completed or in later stage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or difficulties in the enrollment of patients in our clinical trials for TH103 or any other product candidate we develop, our receipt of necessary marketing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TH103 or any other product candidate we may develop receives marketing approval, we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conduct our clinical trials, and those third parties may not perform satisfactorily, including failing to meet deadlines for the completion of such trials, which may prevent or delay our ability to seek or obtain marketing approval for or commercialize our product candidates or otherwise harm our business. If we are not able to maintain these third-party relationships or if these arrangements are terminated, we may have to alter our development and commercialization plans and our business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biologics is complex, and we may experience manufacturing problems that result in delays in our development or future commercialization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technology, our product candidates, and product candidates we may develop, or if the scope of the intellectual property protection obtained is not sufficiently broad, our competitors or other third parties could develop and commercialize products similar or identical to our, and our ability to successfully develop and, if approved, commercialize our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complete the necessary preclinical studies and clinical trials for our product candidates, the regulatory approval process is expensive, time-consuming and uncertain and we may not receive approvals for the commercialization of some or all of our product candidates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been and is expected to continue to be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additional costs and increased demands upon management as a result of complying with the laws and regulations affecting public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an active, liquid and orderly trading market will develop for our common stock or what the market price of our common stock will be and, as a result, it may be difficult for our stockholders to sell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directors and principal stockholder, Samsara BioCapital, LP (“Samsara LP”), have the ability to control or significantly influence all matters submitted to our stockholders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Samsara LP, our principal stockholder, together with its affiliates, beneficially owns greater than 50% of our outstanding shares of capital stock, which has caused us to be deemed a “controlled company” under the rules of Nasdaq. As a result, we rely on exemptions from certain corporate governance requirements under Nasdaq listing standards afforded to a “controlled company”. Such reliance may result in our stockholders not having the same protections afforded to stockholders of companies that are subject to all of the corporate governance standards of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sz w:val="20"/>
        </w:rPr>
      </w:pPr>
      <w:r>
        <w:rPr>
          <w:rFonts w:ascii="Times New Roman" w:hAnsi="Times New Roman"/>
          <w:b/>
          <w:color w:val="000000"/>
          <w:sz w:val="20"/>
        </w:rPr>
        <w:t>Kalaris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balance_sheets"/>
      <w:bookmarkEnd w:id="6"/>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841"/>
        <w:gridCol w:w="166"/>
        <w:gridCol w:w="146"/>
        <w:gridCol w:w="212"/>
        <w:gridCol w:w="849"/>
        <w:gridCol w:w="592"/>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121,736</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 (including $40 and $67 due to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obligation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and $0.0001 par value as of June 30, 2026 and December 31, 2025, respectively; 300,000,000 shares authorized as of June 30, 2026 and December 31, 2025; 23,804,981 and 22,902,418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238,805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121,736</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Kalaris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s_of_operations"/>
      <w:bookmarkEnd w:id="7"/>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(including $15, $12, $30 and $25 for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(including $93, $37, $160 and $188 for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tranche liability (including $0, $0, $0 and $331 for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 (including $0, $0, $0 and $1,165 for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(including $0, $0, $0 and $1,384 for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on issuance of convertible promissory notes (including $0, $0, $0 and $169 for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23,797,306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18,701,286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23,760,665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11,417,677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Kalaris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unaudited_condensed_consolidated"/>
      <w:bookmarkEnd w:id="8"/>
      <w:r>
        <w:rPr>
          <w:rFonts w:ascii="Times New Roman" w:hAnsi="Times New Roman"/>
          <w:b/>
          <w:color w:val="000000"/>
          <w:sz w:val="20"/>
        </w:rPr>
        <w:t>Condensed Consolidated Statements of Redeemable Convertible Preferred Stock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and Stockholders’ Equity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654" w:type="dxa"/>
        <w:jc w:val="left"/>
        <w:tblInd w:w="0" w:type="dxa"/>
        <w:tblLayout w:type="fixed"/>
        <w:tblCellMar>
          <w:top w:w="28" w:type="dxa"/>
          <w:left w:w="28" w:type="dxa"/>
          <w:bottom w:w="28" w:type="dxa"/>
          <w:right w:w="28" w:type="dxa"/>
        </w:tblCellMar>
      </w:tblPr>
      <w:tblGrid>
        <w:gridCol w:w="946"/>
        <w:gridCol w:w="146"/>
        <w:gridCol w:w="146"/>
        <w:gridCol w:w="841"/>
        <w:gridCol w:w="151"/>
        <w:gridCol w:w="146"/>
        <w:gridCol w:w="181"/>
        <w:gridCol w:w="571"/>
        <w:gridCol w:w="151"/>
        <w:gridCol w:w="146"/>
        <w:gridCol w:w="146"/>
        <w:gridCol w:w="146"/>
        <w:gridCol w:w="796"/>
        <w:gridCol w:w="146"/>
        <w:gridCol w:w="146"/>
        <w:gridCol w:w="216"/>
        <w:gridCol w:w="415"/>
        <w:gridCol w:w="146"/>
        <w:gridCol w:w="146"/>
        <w:gridCol w:w="187"/>
        <w:gridCol w:w="624"/>
        <w:gridCol w:w="151"/>
        <w:gridCol w:w="146"/>
        <w:gridCol w:w="376"/>
        <w:gridCol w:w="720"/>
        <w:gridCol w:w="146"/>
        <w:gridCol w:w="146"/>
        <w:gridCol w:w="207"/>
        <w:gridCol w:w="739"/>
        <w:gridCol w:w="151"/>
        <w:gridCol w:w="146"/>
        <w:gridCol w:w="229"/>
        <w:gridCol w:w="762"/>
        <w:gridCol w:w="19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br/>
              <w:t>Comprehensive</w:t>
              <w:br/>
              <w:t>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43,151,340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45,999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1,356,431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(116,561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Premium on issuance of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Series B-2 redeemable convertible preferred stock upon conversion of convertible promissory notes in connection with the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794,499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convertible promissory notes into common stock in connection with the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3,418,839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redeemable convertible preferred stock into common stock in connection with the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(43,945,839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8,859,474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Recognition of AlloVir common stock outstanding at the closing of the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5,067,674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Transaction costs related to the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(10,196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18,702,418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190,629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(126,757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63,874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(11,350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18,702,418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191,220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53,115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shares of common stock have been retroactively recast in connection with the Merger to reflect the exchange ratio of 0.2016</w:t>
      </w:r>
      <w:r>
        <w:rPr>
          <w:color w:val="000000"/>
        </w:rPr>
        <w:t xml:space="preserve"> </w:t>
      </w:r>
      <w:r>
        <w:rPr>
          <w:rFonts w:ascii="Times New Roman" w:hAnsi="Times New Roman"/>
          <w:color w:val="000000"/>
          <w:sz w:val="20"/>
        </w:rPr>
        <w:t>(Note 3).</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Kalaris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5"/>
        <w:gridCol w:w="146"/>
        <w:gridCol w:w="146"/>
        <w:gridCol w:w="796"/>
        <w:gridCol w:w="146"/>
        <w:gridCol w:w="146"/>
        <w:gridCol w:w="181"/>
        <w:gridCol w:w="346"/>
        <w:gridCol w:w="146"/>
        <w:gridCol w:w="146"/>
        <w:gridCol w:w="181"/>
        <w:gridCol w:w="601"/>
        <w:gridCol w:w="146"/>
        <w:gridCol w:w="146"/>
        <w:gridCol w:w="375"/>
        <w:gridCol w:w="719"/>
        <w:gridCol w:w="151"/>
        <w:gridCol w:w="146"/>
        <w:gridCol w:w="181"/>
        <w:gridCol w:w="646"/>
        <w:gridCol w:w="151"/>
        <w:gridCol w:w="146"/>
        <w:gridCol w:w="211"/>
        <w:gridCol w:w="672"/>
        <w:gridCol w:w="199"/>
      </w:tblGrid>
      <w:tr>
        <w:trPr/>
        <w:tc>
          <w:tcPr>
            <w:tcW w:w="3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bookmarkStart w:id="9" w:name="consolidated_stmt_of_stockholders_equity"/>
            <w:bookmarkEnd w:id="9"/>
            <w:r>
              <w:rPr>
                <w:rFonts w:ascii="Times New Roman" w:hAnsi="Times New Roman"/>
                <w:b/>
                <w:color w:val="000000"/>
                <w:sz w:val="12"/>
              </w:rPr>
              <w:t>Accumulated 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22,902,418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(159,999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78,814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(10,856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22,992,291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(170,855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68,557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23,804,981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(182,370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57,672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Kalaris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statements_of_cash_flows"/>
      <w:bookmarkEnd w:id="10"/>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7"/>
        <w:gridCol w:w="146"/>
        <w:gridCol w:w="211"/>
        <w:gridCol w:w="736"/>
        <w:gridCol w:w="166"/>
        <w:gridCol w:w="146"/>
        <w:gridCol w:w="211"/>
        <w:gridCol w:w="781"/>
        <w:gridCol w:w="791"/>
      </w:tblGrid>
      <w:tr>
        <w:trPr/>
        <w:tc>
          <w:tcPr>
            <w:tcW w:w="7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 (including $0 and $1,165 for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tranche liability (including $0 and $331 for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(including $0 and $1,384 for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amortization of premiums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on issuance of convertible promissory notes (including $0 and $169 for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convertible promissory notes (including $0 and $3,402 from a related party),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acquired in connection with the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transaction costs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Kalaris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777"/>
        <w:gridCol w:w="146"/>
        <w:gridCol w:w="211"/>
        <w:gridCol w:w="376"/>
        <w:gridCol w:w="166"/>
        <w:gridCol w:w="146"/>
        <w:gridCol w:w="211"/>
        <w:gridCol w:w="781"/>
        <w:gridCol w:w="391"/>
      </w:tblGrid>
      <w:tr>
        <w:trPr/>
        <w:tc>
          <w:tcPr>
            <w:tcW w:w="7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transaction and financing issuance costs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Premium on issuance of convertible promissory notes (including $0 and $169 for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transaction costs recognized in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and equity elimination in connection with the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redeemable convertible preferred stock upon conversion of convertible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shares into common stock in connection with the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convertible promissory notes and accrued interest in connection with the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Kalaris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1" w:name="notes_to_the_unaudited_cond_consolidated"/>
      <w:bookmarkEnd w:id="11"/>
      <w:r>
        <w:rPr>
          <w:rFonts w:ascii="Times New Roman" w:hAnsi="Times New Roman"/>
          <w:b/>
          <w:color w:val="000000"/>
          <w:sz w:val="20"/>
        </w:rPr>
        <w:t>Notes to the Unaudited Condensed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Kalaris Therapeutics, Inc. (“Kalaris” or “the Company”) is a clinical stage biopharmaceutical company dedicated to the development and commercialization of treatments for prevalent retinal diseases with major unmet medical needs. The Company is developing TH103, a novel, clinical stage anti-vascular endothelial growth factor (“VEGF”) drug, specifically engineered to achieve extended intraocular retention with enhanced VEGF inhibition in patients with exudative and/or neovascular retinal diseases.</w:t>
      </w:r>
    </w:p>
    <w:p>
      <w:pPr>
        <w:pStyle w:val="TextBody"/>
        <w:bidi w:val="0"/>
        <w:spacing w:before="240" w:after="283"/>
        <w:jc w:val="left"/>
        <w:rPr>
          <w:rFonts w:ascii="Times New Roman" w:hAnsi="Times New Roman"/>
          <w:sz w:val="20"/>
        </w:rPr>
      </w:pPr>
      <w:r>
        <w:rPr>
          <w:rFonts w:ascii="Times New Roman" w:hAnsi="Times New Roman"/>
          <w:color w:val="000000"/>
          <w:sz w:val="20"/>
        </w:rPr>
        <w:t>On March 18, 2025 (the “Closing Date”), AlloVir, Inc., a Delaware corporation (“AlloVir”), consummated the previously announced merger (the “Merger”) pursuant to the terms of the Agreement and Plan of Merger, dated as of November 7, 2024 (the “Merger Agreement”), by and among AlloVir, Aurora Merger Sub, Inc., a Delaware corporation and wholly-owned subsidiary of AlloVir (“Merger Sub”) and Kalaris Tx, Inc. (formerly Kalaris Therapeutics, Inc.), a Delaware corporation (“Legacy Kalaris”). At the effective time of the Merger (the “Effective Time”), Merger Sub merged with and into Legacy Kalaris, with Legacy Kalaris continuing as a wholly-owned subsidiary of AlloVir and the surviving corporation of the Merger and, after giving effect to the Merger, Legacy Kalaris became a wholly-owned subsidiary of AlloVir. Immediately following the Effective Time, AlloVir changed its name to “Kalaris Therapeutics, Inc.” At the Effective Time, the Company’s business became primarily the business conducted by Legacy Kalaris. The Company's common stock, which was previously listed on The Nasdaq Capital Market and traded under the ticker symbol “ALVR” through the close of business on the Closing Date, commenced trading on The Nasdaq Global Market under the ticker symbol “KLRS” on March 19, 2025. Refer to Note 3, “</w:t>
      </w:r>
      <w:r>
        <w:rPr>
          <w:rFonts w:ascii="Times New Roman" w:hAnsi="Times New Roman"/>
          <w:i/>
          <w:color w:val="000000"/>
          <w:sz w:val="20"/>
        </w:rPr>
        <w:t>Merger with AlloVir</w:t>
      </w:r>
      <w:r>
        <w:rPr>
          <w:rFonts w:ascii="Times New Roman" w:hAnsi="Times New Roman"/>
          <w:color w:val="000000"/>
          <w:sz w:val="20"/>
        </w:rPr>
        <w:t>”, for further details of the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Samsara BioCapital L.P. and its affiliates (collectively, “Samsara”), the Company's majority stockholder and a related party, have provided Legacy Kalaris with significant equity and debt financing since its inception, and management and operational support services to the Company. Refer to Note 15 for further details of the related party transactions with Samsara.</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since its inception. During the six months ended June 30, 2026 and 2025, the Company incurred net losses of $22.4 million and $21.5 million, respectively. During the six months ended June 30, 2026 and 2025, the Company had negative cash flows from operations of $22.6 million and $20.0 million, respectively. As of June 30, 2026 and December 31, 2025, the Company had an accumulated deficit of $182.4 million and $160.0 million, respectively. The Company expects to continue to incur substantial losses for the foreseeable future, and its ability to achieve and sustain profitability will depend on the successful development, approval, and commercialization of product candidates and on the achievement of sufficient revenues to support the Company’s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inception, the Company has funded its operations primarily with proceeds from sales of its redeemable convertible preferred stock, issuances of convertible promissory notes and a simple agreement for future equity (“SAFE”), from cash and cash equivalents of AlloVir received in the Merger, and with proceeds from the 2025 Private Placement (as defined below). Refer to Note 12 for further details of the 2025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had cash, cash equivalents and marketable securities of $93.5 million. The Company expects that the existing cash, cash equivalents and marketable securities will be sufficient to fund its operating expenses and capital expenditure requirements for at least twelve months from the issuance date of these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need to raise additional financing to continue its product's development for the foreseeable future until it becomes profitable. The Company plans to monitor expenses and raise additional capital through a combination of equity and debt financings, strategic alliances, and licensing arrangements.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(“GAAP”) and pursuant to the rules and regulations of the Securities and Exchange Commission (“SEC”) regarding interim financial reporting. Any reference in these notes to applicable guidance is meant to refer to the authoritative GAAP as found in the Accounting Standards Codification (“ASC”) and Accounting Standards Updates (“ASU”) of the Financial Accounting Standards Board (“FASB”). AlloVir and its subsidiaries’ operating results are included in the Company’s condensed consolidated financial statements from the Closing Date of the Merger. All other accompanying financial data as of December 31, 2025, and for the three and six months ended June 30, 2025, include only the accounts and disclosures of Legacy Kalaris. All intercompany transactions and balances have been eliminated upon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unaudited condensed consolidated financial statements and the notes accompanying them should be read in conjunction with Legacy Kalaris' audited financial statements as of and for the year ended December 31, 2025, included in the Company’s Annual Report on Form 10-K filed with the SEC on March 17,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historical common share data and per-share amounts prior to the Merger were retrospectively recast to reflect the effect of the exchange ratio of 0.2016 per one share, which was determined in accordance with the Merger Agreement. The number of authorized shares and par value per share were not recast. The conversion ratios for each series of redeemable convertible preferred stock, which were converted into shares of common stock in connection with the closing of the Merger, were proportionally recast.</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Condensed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on the same basis as the audited annual financial statements and reflect, in the opinion of management, all adjustments of a normal and recurring nature that are necessary for the fair statement of the Company’s financial position as of June 30, 2026 and its results of operations and its cash flows for the three and six months ended June 30, 2026 and 2025. The results of operations for the three and six months ended June 30, 2026 and 2025 are not necessarily indicative of the results to be expected for the year ending December 31, 2026, or for any other future annual or interim period. The consolidated balance sheet as of December 31, 2025 included herein was derived from the audited financial statements as of that date. Certain information and footnote disclosures normally included in consolidated financial statements prepared in accordance with GAAP have been condensed or omitted from these unaudited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all investments with a remaining maturity of less than one year as short-term marketable securities and investments with a remaining maturity of greater than one year as long-term marketable securities. Marketable securities consist of U.S. treasury securities classified as available-for-sale. The Company's marketable securities are classified as available-for-sale as they are available to fund current operations, even if the Company intends to hold the marketable securities to maturity. Available-for-sale securities are carried at fair value, with the unrealized gains and losses reported in other comprehensive income (loss) until realized. The amortized cost of debt securities in this category is adjusted for amortization of premiums and accretion of discounts to maturity. Such amortization or accretion is included in other income (expense), net in the condensed consolidated statements of operations and comprehensive loss. Realized gains and losses are determined using the specific identification method and are included in other income (expense), net in the condensed consolidated statements of operations and comprehensive loss. Interest on available-for-sale securities is included in other income (expense), net in the condensed consolidated statements of operations and comprehensive loss. The Company reviews its portfolio of marketable securities, using both quantitative and qualitative factors, to determine if declines in fair value below cost have resulted from a credit-related loss. If the decline in fair value is due to credit-related factors, a loss is recognized in other income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ASU 2024-03, Income Statement-Reporting Comprehensive Income-Expense Disaggregation Disclosures (Subtopic 220-40)</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to improve financial reporting by requiring that public business entities disclose additional information about specific expense categories in the notes to financial statements at interim and annual reporting periods. The amendments in this ASU do not change or remove current expense disclosure requirements; however, the amendments affect where such information appears in the notes to the financial statements because entities are required to include certain current disclosures in the same tabular format as the other disaggregation requirements in the amendments. This ASU is effective for annual reporting periods beginning after December 15, 2026, and interim reporting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after December 15, 2027. Early adoption is permitted. The Company is currently evaluating the impact that the updated standard will have on its consolidated financial statement disclosures and financial reporting processes.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ASU 2025-06, Intangibles-Goodwill and Other-Internal-Use Software (Subtopic 350-40)</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to modernize the accounting for software costs and increase the operability of the recognition guidance considering different methods of software development. The amendments are effective for annual reporting periods beginning after December 15, 2027, and interim reporting periods within those annual reporting periods. Early adoption is permitted as of the beginning of an annual reporting period. The Company is currently evaluating the impact that the updated standard will have on its consolidated financial statement disclosures. </w:t>
      </w:r>
    </w:p>
    <w:p>
      <w:pPr>
        <w:pStyle w:val="TextBody"/>
        <w:bidi w:val="0"/>
        <w:spacing w:before="360" w:after="283"/>
        <w:jc w:val="left"/>
        <w:rPr>
          <w:rFonts w:ascii="Times New Roman" w:hAnsi="Times New Roman"/>
          <w:sz w:val="20"/>
        </w:rPr>
      </w:pPr>
      <w:r>
        <w:rPr>
          <w:rFonts w:ascii="Times New Roman" w:hAnsi="Times New Roman"/>
          <w:b/>
          <w:color w:val="000000"/>
          <w:sz w:val="20"/>
        </w:rPr>
        <w:t>3. Merger with AlloVir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18, 2025, the Merger closed, and, pursuant to the Merger Agreement, Merger Sub merged with and into Legacy Kalaris with Legacy Kalaris continuing as a wholly owned subsidiary of AlloVir and the surviving corporation of the Merger. Upon completion of the Merger, AlloVir changed its name to “Kalaris Therapeutics, Inc.” and Legacy Kalaris was renamed to “Kalaris Tx,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and conditions of the Merger Agreement, at the Effective Time, all issued and outstanding shares of the Legacy Kalaris’ common stock (including common stock issued upon conversion of Legacy Kalaris’ redeemable convertible preferred stock and outstanding convertible promissory notes, other than the AlloVir Note (as defined below)) converted into the right to receive 0.2016 shares of AlloVir’s common stock calculated in accordance with an exchange ratio equal to 1:0.2016 (the “Exchange Ratio”). Each award of restricted shares of Legacy Kalaris’ common stock that was unvested and outstanding was converted into and exchanged for the right to receive a number of restricted shares of AlloVir common stock based on the Exchange Ratio. Each outstanding option to purchase shares of Legacy Kalaris’ common stock under the Legacy Kalaris’ 2019 Equity Incentive Plan (the “2019 Plan”), whether vested or unvested, was converted into an option to acquire a number of shares of AlloVir’s common stock based on the Exchange Ratio. Exercise prices of assumed options were determined as the product of the exercise price immediately prior to the Effective Time multiplied by the reciprocal of the Exchange Ratio, and rounding up to the nearest whole cent. There were no changes to any other terms of such options or restricted share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Effective Time, (i) the outstanding principal and accrued but unpaid interest on convertible promissory notes issued by Legacy Kalaris in January 2025 (other than the AlloVir Note) converted into 794,499 shares of Series B-2 redeemable convertible preferred stock (the “Series B-2 Stock”) at a price of $4.7851 per share, which then converted on a one-for-one basis into shares of Legacy Kalaris common stock, and (ii) the outstanding principal and accrued but unpaid interest on convertible notes issued by Legacy Kalaris in 2024 converted into shares of Legacy Kalaris’ common stock at a price of $6.20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Legacy Kalaris issued a convertible promissory note in an aggregate principal amount of up to $7.5 million to AlloVir (the “AlloVir Note”) under which AlloVir funded a principal amount of $3.75 million in January 2025. The AlloVir Note accrued interest on the initial advance commencing on the date of such advance, at an interest rate of 8.0% per annum. At the Effective Time, the AlloVir Note was cancelled.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Effective Time, each option to purchase shares of AlloVir’s common stock (each, an “AlloVir Option”) that was outstanding immediately prior to the Effective Time, whether vested or unvested, survived the Closing and remains outstanding in accordance with its terms, provided that (i) each unexercised and outstanding AlloVir Option with an exercise price per share equal to or greater than $92.00 was cancelled for no consideration, and (ii) each AlloVir Option that had an exercise price per share less than $92.00, was unvested and unexercised as of the Effective Time, was accelerated in full. Additionally, immediately prior to the Effective Time, each outstanding and unvested AlloVir restricted stock unit was accelerated in full and settled in shares of AlloVir’s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number of shares that AlloVir issued to Legacy Kalaris’ securityholders (including all holders of outstanding convertible notes) at the closing of the Merger was 13,634,744 shares of AlloVir's common stock. Immediately following the Merger, Legacy Kalaris securityholders owned approximately 74.47% of the outstanding shares of the Company’s common stock on a fully-diluted basis and pre-closing AlloVir securityholders owned approximately 25.53% of the outstanding shares of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 on a fully-diluted basis. The number of shares of the Company's common stock issued and outstanding immediately following the closing of the Merger was as follows: </w:t>
      </w:r>
    </w:p>
    <w:p>
      <w:pPr>
        <w:pStyle w:val="TextBody"/>
        <w:bidi w:val="0"/>
        <w:jc w:val="left"/>
        <w:rPr/>
      </w:pPr>
      <w:r>
        <w:rPr/>
        <w:t> </w:t>
      </w:r>
    </w:p>
    <w:tbl>
      <w:tblPr>
        <w:tblW w:w="7918" w:type="dxa"/>
        <w:jc w:val="left"/>
        <w:tblInd w:w="0" w:type="dxa"/>
        <w:tblLayout w:type="fixed"/>
        <w:tblCellMar>
          <w:top w:w="28" w:type="dxa"/>
          <w:left w:w="28" w:type="dxa"/>
          <w:bottom w:w="28" w:type="dxa"/>
          <w:right w:w="28" w:type="dxa"/>
        </w:tblCellMar>
      </w:tblPr>
      <w:tblGrid>
        <w:gridCol w:w="6436"/>
        <w:gridCol w:w="146"/>
        <w:gridCol w:w="146"/>
        <w:gridCol w:w="1036"/>
        <w:gridCol w:w="154"/>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AlloVir’s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5,043,652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AlloVir’s restricted stock units accelerated and settled in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Legacy Kalaris' securityholders at the Effective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13,634,744</w:t>
            </w:r>
          </w:p>
        </w:tc>
        <w:tc>
          <w:tcPr>
            <w:tcW w:w="154"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18,702,418</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Merger was accounted for as a reverse recapitalization in accordance with GAAP. Under this method of accounting, Legacy Kalaris was deemed to be the accounting acquirer for financial reporting purposes. This determination was primarily based on the fact that, immediately following the Merger: (1) Legacy Kalaris’ stockholders owned a substantial majority of the voting rights of the Company, inclusive of Samsara; (2) Legacy Kalaris designated a majority of the initial members of the board of directors of the Company; and (3) other than with respect to the Company’s chief financial officer, for which the Company had commenced a search for a qualified candidate, the Company's senior management (which are determined by the board of directors of the Company) held all key positions in senior management of the Company. For accounting purposes, the Merger is treated as the equivalent of Legacy Kalaris issuing stock to acquire the net assets of AlloVir. The reported operating results prior to the Merger are those of Legacy Kalaris. The net assets of AlloVir were recorded at their carrying value in the condensed consolidated financial statements of the Company. Historical common stock share, restricted share awards, common stock options and exercise prices data of Legacy Kalaris have been retroactively recast based on the Exchange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AlloVir’s net assets acquired included the following: $102.1 million of cash and cash equivalents, $1.7 million of prepaid expenses and other current assets, and $2.6 million of accounts payable and accrued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approximately $1.5 million related to AlloVir’s directors’ and officers’ insurance and $0.1 million of share-based compensation expense related to the acceleration of vesting of stock options and restricted stock units as general and administrative expenses at the Effective Time. The Company also incurred transaction costs related to the Merger of approximately $5.4 million, which were recorded as a reduction to additional paid-in capital in the condensed consolidated statement of redeemable convertible preferred stock and stockholders’ equity (deficit) for the six months ended June 30, 2025.</w:t>
      </w:r>
    </w:p>
    <w:p>
      <w:pPr>
        <w:pStyle w:val="TextBody"/>
        <w:bidi w:val="0"/>
        <w:spacing w:before="360" w:after="283"/>
        <w:jc w:val="left"/>
        <w:rPr>
          <w:rFonts w:ascii="Times New Roman" w:hAnsi="Times New Roman"/>
          <w:sz w:val="20"/>
        </w:rPr>
      </w:pPr>
      <w:r>
        <w:rPr>
          <w:rFonts w:ascii="Times New Roman" w:hAnsi="Times New Roman"/>
          <w:b/>
          <w:color w:val="000000"/>
          <w:sz w:val="20"/>
        </w:rPr>
        <w:t>4.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amortized cost and estimated fair value of the Company’s U.S. government treasury securities, which are considered to be available-for-sale marketable securities and are included in marketable securities on the condensed consolidated balance sheet as of June 30, 2026 and December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1"/>
        <w:gridCol w:w="146"/>
        <w:gridCol w:w="282"/>
        <w:gridCol w:w="906"/>
        <w:gridCol w:w="146"/>
        <w:gridCol w:w="146"/>
        <w:gridCol w:w="631"/>
        <w:gridCol w:w="1039"/>
        <w:gridCol w:w="146"/>
        <w:gridCol w:w="146"/>
        <w:gridCol w:w="608"/>
        <w:gridCol w:w="1088"/>
        <w:gridCol w:w="166"/>
        <w:gridCol w:w="146"/>
        <w:gridCol w:w="364"/>
        <w:gridCol w:w="1168"/>
        <w:gridCol w:w="296"/>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5"/>
        <w:gridCol w:w="146"/>
        <w:gridCol w:w="281"/>
        <w:gridCol w:w="902"/>
        <w:gridCol w:w="146"/>
        <w:gridCol w:w="146"/>
        <w:gridCol w:w="829"/>
        <w:gridCol w:w="829"/>
        <w:gridCol w:w="146"/>
        <w:gridCol w:w="146"/>
        <w:gridCol w:w="635"/>
        <w:gridCol w:w="1047"/>
        <w:gridCol w:w="146"/>
        <w:gridCol w:w="146"/>
        <w:gridCol w:w="361"/>
        <w:gridCol w:w="1159"/>
        <w:gridCol w:w="295"/>
      </w:tblGrid>
      <w:tr>
        <w:trPr/>
        <w:tc>
          <w:tcPr>
            <w:tcW w:w="2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19,928</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19,928</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short-term debt securities with original maturities of less than three months are included in cash and cash equivalents on the condensed consolidated balance sheets and are not included in the tables above. As of June 30, 2026, and December 31, 2025, all marketable securities had contractual maturities within one year. There were no available-for-sale securities in a continuous unrealized loss position for greater than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holds debt securities with high credit quality and has determined that there was no material change in the credit risk of any of its debt securities. The total fair value of marketable securities as of June 30, 2026 was $50.4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fair value hierarchy for its financial instruments measured at fair value on a recurring basis as of June 30, 2026 and December 31, 2025, were as follows (in thousands): </w:t>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3171"/>
        <w:gridCol w:w="146"/>
        <w:gridCol w:w="211"/>
        <w:gridCol w:w="676"/>
        <w:gridCol w:w="146"/>
        <w:gridCol w:w="146"/>
        <w:gridCol w:w="211"/>
        <w:gridCol w:w="676"/>
        <w:gridCol w:w="146"/>
        <w:gridCol w:w="146"/>
        <w:gridCol w:w="239"/>
        <w:gridCol w:w="391"/>
        <w:gridCol w:w="146"/>
        <w:gridCol w:w="146"/>
        <w:gridCol w:w="239"/>
        <w:gridCol w:w="391"/>
        <w:gridCol w:w="3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3171"/>
        <w:gridCol w:w="146"/>
        <w:gridCol w:w="211"/>
        <w:gridCol w:w="676"/>
        <w:gridCol w:w="146"/>
        <w:gridCol w:w="146"/>
        <w:gridCol w:w="211"/>
        <w:gridCol w:w="676"/>
        <w:gridCol w:w="146"/>
        <w:gridCol w:w="146"/>
        <w:gridCol w:w="239"/>
        <w:gridCol w:w="391"/>
        <w:gridCol w:w="146"/>
        <w:gridCol w:w="146"/>
        <w:gridCol w:w="239"/>
        <w:gridCol w:w="391"/>
        <w:gridCol w:w="3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its money market funds and U.S. government treasury securities as Level 1 assets under the fair value hierarchy as these assets have been valued using quoted market prices in active markets without any valuation adjustment. The Company classifies its derivative liabilities and tranche liability as Level 3 liabilities under the fair value hierarchy as these liabilities have been valued using pricing models with unobservable inputs supported by little or no market activity that are significant to the fair value of the liabilities. The carrying amounts of prepaid expenses and other current assets, accounts payable, accrued expenses and other current liabilities approximate their fair value due to their short-term maturities. During the periods presented, the Company has not changed the manner in which it values liabilities that are measured at estimated fair value using Level 3 inputs. There were no transfers within the hierarchy for any period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issued derivative liabilities embedded in convertible promissory notes and the tranche liability related to the convertible note financing, which are accounted for at fair value on a recurring basis (Note 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estimated the fair value of the derivative liabilities embedded in the convertible promissory notes using a with-and-without scenario analysis. The Company estimated that the embedded change of control feature fair values were minimal based on the low probability of the change of control events during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assumptions were used to determine the estimated fair value of the derivative liabilities related to the redemption features as of the issuance dates: </w:t>
      </w:r>
    </w:p>
    <w:p>
      <w:pPr>
        <w:pStyle w:val="TextBody"/>
        <w:bidi w:val="0"/>
        <w:jc w:val="left"/>
        <w:rPr/>
      </w:pPr>
      <w:r>
        <w:rPr/>
        <w:t> </w:t>
      </w:r>
    </w:p>
    <w:tbl>
      <w:tblPr>
        <w:tblW w:w="4033" w:type="dxa"/>
        <w:jc w:val="left"/>
        <w:tblInd w:w="0" w:type="dxa"/>
        <w:tblLayout w:type="fixed"/>
        <w:tblCellMar>
          <w:top w:w="28" w:type="dxa"/>
          <w:left w:w="28" w:type="dxa"/>
          <w:bottom w:w="28" w:type="dxa"/>
          <w:right w:w="28" w:type="dxa"/>
        </w:tblCellMar>
      </w:tblPr>
      <w:tblGrid>
        <w:gridCol w:w="2326"/>
        <w:gridCol w:w="146"/>
        <w:gridCol w:w="15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 Date</w:t>
              <w:br/>
              <w:t>(January 10, 2025)</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 – 0.3</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 – 80.0%</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assumptions were used to determine the estimated fair value of the derivative liabilities related to the redemption features as of the issuance date and as of December 31, 2024: </w:t>
      </w:r>
    </w:p>
    <w:p>
      <w:pPr>
        <w:pStyle w:val="TextBody"/>
        <w:bidi w:val="0"/>
        <w:jc w:val="left"/>
        <w:rPr/>
      </w:pPr>
      <w:r>
        <w:rPr/>
        <w:t> </w:t>
      </w:r>
    </w:p>
    <w:tbl>
      <w:tblPr>
        <w:tblW w:w="5410" w:type="dxa"/>
        <w:jc w:val="left"/>
        <w:tblInd w:w="0" w:type="dxa"/>
        <w:tblLayout w:type="fixed"/>
        <w:tblCellMar>
          <w:top w:w="28" w:type="dxa"/>
          <w:left w:w="28" w:type="dxa"/>
          <w:bottom w:w="28" w:type="dxa"/>
          <w:right w:w="28" w:type="dxa"/>
        </w:tblCellMar>
      </w:tblPr>
      <w:tblGrid>
        <w:gridCol w:w="2326"/>
        <w:gridCol w:w="146"/>
        <w:gridCol w:w="1246"/>
        <w:gridCol w:w="146"/>
        <w:gridCol w:w="154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Issuance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 –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 – 0.4</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 – 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 – 80.0%</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 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As all outstanding convertible promissory notes, other than the AlloVir Note, were converted on March 18, 2025, in connection with the closing of the Merger, the derivative liabilities expired and their fair values were immaterial at the time of conversion.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tranche liability related to the convertible promissory notes issued in October and November 2024 was estimated using the probability weighted model with the following Level 3 input assumptions: the timing of issuing convertible notes and notes conversion, probabilities of conversion scenarios, the estimated fair value of the Company’s shares into which the note was convertible and a discount rate. The significant assumptions were as follows as of December 31, 2024:</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326"/>
        <w:gridCol w:w="146"/>
        <w:gridCol w:w="154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0.2 - 0.4</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 - 80.0%</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the Company and other noteholders entered into an acknowledgment of conversion and termination agreement to cancel all unfunded tranches and the tranche liability expired unexercised.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roll-forward of the aggregate fair values of the Company’s outstanding Level 3 financial instruments during the six months ended June 30, 2025 (in thousands):</w:t>
      </w:r>
    </w:p>
    <w:p>
      <w:pPr>
        <w:pStyle w:val="TextBody"/>
        <w:bidi w:val="0"/>
        <w:jc w:val="left"/>
        <w:rPr/>
      </w:pPr>
      <w:r>
        <w:rPr/>
        <w:t> </w:t>
      </w:r>
    </w:p>
    <w:tbl>
      <w:tblPr>
        <w:tblW w:w="5247" w:type="dxa"/>
        <w:jc w:val="left"/>
        <w:tblInd w:w="0" w:type="dxa"/>
        <w:tblLayout w:type="fixed"/>
        <w:tblCellMar>
          <w:top w:w="28" w:type="dxa"/>
          <w:left w:w="28" w:type="dxa"/>
          <w:bottom w:w="28" w:type="dxa"/>
          <w:right w:w="28" w:type="dxa"/>
        </w:tblCellMar>
      </w:tblPr>
      <w:tblGrid>
        <w:gridCol w:w="2821"/>
        <w:gridCol w:w="146"/>
        <w:gridCol w:w="218"/>
        <w:gridCol w:w="653"/>
        <w:gridCol w:w="166"/>
        <w:gridCol w:w="146"/>
        <w:gridCol w:w="215"/>
        <w:gridCol w:w="49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w:t>
              <w:br/>
              <w:t>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Initial fair value at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as of June 30, 2026 and December 31, 2025 consisted of the following (in thousands): </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4131"/>
        <w:gridCol w:w="146"/>
        <w:gridCol w:w="211"/>
        <w:gridCol w:w="571"/>
        <w:gridCol w:w="146"/>
        <w:gridCol w:w="146"/>
        <w:gridCol w:w="364"/>
        <w:gridCol w:w="73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professional and legal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as of June 30, 2026 and December 31, 2025 consisted of the following (in thousands): </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4461"/>
        <w:gridCol w:w="146"/>
        <w:gridCol w:w="211"/>
        <w:gridCol w:w="571"/>
        <w:gridCol w:w="146"/>
        <w:gridCol w:w="146"/>
        <w:gridCol w:w="294"/>
        <w:gridCol w:w="80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transaction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Times New Roman" w:hAnsi="Times New Roman"/>
          <w:b/>
          <w:color w:val="000000"/>
          <w:sz w:val="20"/>
        </w:rPr>
        <w:t>7. 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the University of California, San Diego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the Company entered into a license agreement with UCSD (as amended, the “UCSD Agreement”) pursuant to which the Company obtained (i) an exclusive license under the patent rights to make, use, sell, offer for sale, and import licensed products and (ii) a non-exclusive license to use the technology with a right to sublicense, each (i) and (ii) related to new anti-VEGF agents and novel long-acting VEGF inhibitors for intraocular neovascularization for the treatment of patients with retinal pathologies. As partial consideration for the license, the Company agreed to pay UCSD $0.2 million and was obligated to issue shares of its common stock to UCSD equal to 5% of the fully diluted issued and outstanding securities of the Company until such time as an aggregate of $5.0 million in gross proceeds from the sale of equity securities had been raised by the Company. In June 2022, after the closing of the Series A financing, the Company issued 137,234 shares of its common stock to UCSD. The Company was also obligated to pay $0.1 million of patent costs incurred prior to the effective date and is required to reimburse future patent expenses incurred by UCSD during the term of the UCSD Agreement. Under the UCSD Agreement, the Company is required to make annual license maintenance payments of $10,000 during the first four anniversaries and $15,000 on the fifth and every subsequent anniversary of the effective date. The Company is obligated to pay an aggregate of up to $4.6 million upon the achievement of various development and regulatory milestones and low single-digit royalties on net sales of licensed products. The royalty is payable, on a licensed product-by-licensed product and country-by country basis, until expiration of the last-to-expire issued patent of the applicable licensed product in the country of sale or the manufacture. If the Company enters into a sublicensing agreement, it is required to pay UCSD a sublicense fee as a percentage of the fair market value of any sublicense fee received that is not earned royalties for each sublicense granted. The sublicense fee percentage ranges from 50% if the applicable sublicense agreement is entered into within one year from the UCSD Agreement effective date and decreases to 10% if the applicable sublicense agreement is entered into after the first dosing of a patient for a phase 2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case of a closing of a merger, or sale of at least 50% of the voting stock of the Company or the sale by the Company of all or substantially all of its assets (collectively referred to as “Liquidity Event”), the Company is obligated to make a one-time cash milestone payment to UCSD ranging from $0.1 million to $1.0 million based on the valuation of the Company’s outstanding shares at the Liquidity Event closing date. The Merger did not meet the definition of the Liquidity Event.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UCSD Agreement is effective until the expiration date of the longest-lived patent rights or last to be abandoned patent or future patent of the licensed products, whichever is later. The Company can terminate the agreement upon 60 days written notice. UCSD can terminate the agreement in the event of an uncured material breach, such as a failure to make payments due, or to perform under the UCSD Agreement or a violation of any other material term of the UCSD Agreement, that is not cured by the Company within 60 days after a written breach notice provided by UCSD.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acquisition of the license under the UCSD Agreement, including patent rights and know-how, was accounted for as an asset acquisition. As the acquired technology did not have an alternative future use, the Company recognized the $0.2 million initial cash consideration, $0.1 million patent reimbursement costs incurred prior to the effective date, and $0.2 million related to the obligation to issue shares of the Company’s common stock as research and development expenses. The obligation to issue shares of common stock included two components, the initial shares obligation and the additional shares obligation. The fair value of the initial share obligation was estimated as $0.1 million based on the fair value of 55,440 shares of common stock, which represented 5% of the outstanding fully diluted equity at the effective date. As the initial share obligation was indexed to the Company’s own stock, it was recorded as additional paid-in capital. The additional shares obligation was recognized when the next round of financing closed in March 2022. The Company estimated the fair value of an additional 81,794 shares of common stock as $0.2 million and recognized it as research and development expenses and additional paid-in capital in March 2022. The Company concluded that the contingent payment upon the closing of the Liquidity Event is a derivative liability and should be accounted for at fair value and re-measured until its settlement or expiration. The Company recognized an immaterial amount in patent reimbursement costs for the three and six months ended June 30, 2026. The Company recognized an immaterial amount and $0.1 million in patent reimbursement costs for each of the three and six months ended June 30, 2025, respectively. As of June 30, 2026 and December 31, 2025, the Company recognized an immaterial amount related to the UCSD Agreement in accrued expenses and other current liabilities in the condensed consolidated balance sheets. Over the life of the agreement through June 30, 2026, development milestones totaling $0.1 million have been achieved by the Company and incurred as research and development expenses. The Company did not achieve any development milestones and did not incur any related milestone expense during the three and six months ended June 30, 2026 and 2025. The assignment fee derivative liability fair value was estimated to be zero as of June 30, 2026 and December 31, 2025, as the probability of the Liquidity Event was estimated to be zero. </w:t>
      </w:r>
    </w:p>
    <w:p>
      <w:pPr>
        <w:pStyle w:val="TextBody"/>
        <w:bidi w:val="0"/>
        <w:spacing w:before="360" w:after="283"/>
        <w:jc w:val="left"/>
        <w:rPr>
          <w:rFonts w:ascii="Times New Roman" w:hAnsi="Times New Roman"/>
          <w:sz w:val="20"/>
        </w:rPr>
      </w:pPr>
      <w:r>
        <w:rPr>
          <w:rFonts w:ascii="Times New Roman" w:hAnsi="Times New Roman"/>
          <w:b/>
          <w:i/>
          <w:color w:val="000000"/>
          <w:sz w:val="20"/>
        </w:rPr>
        <w:t>Royalty Agreement with Samsara – Related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the Company entered into a royalty agreement (the “Royalty Agreement”) with Samsara, the majority stockholder of the Company and a related party. Under the Royalty Agreement, the Company redeemed 10,080 shares of its common stock issued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Samsara under a restricted stock purchase agreement in exchange for the Company’s agreement to pay Samsara a low single-digit percentage tiered royalty on net sales, if any, of the Company’s products developed using the technology licensed under the UCSD Agreement. Such royalties are payable on a product-by-product and country-by-country basis until the later of (i) ten years after the first commercial sale of such product in such country and (ii) the expiration of the last-to-expire issued claim of the Company’s patents for such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identified two elements in the Royalty Agreement: repurchased shares, and future royalty payments to Samsara. The repurchase of shares was accounted at an estimated fair value of $32,000 as a reduction of common stock and additional paid-in-capital in the condensed consolidated balance sheet and the statement of redeemable convertible preferred stock and shareholders’ deficit. The Company recorded $32.1 million as a long-term liability related to the obligation to make royalty payments to Samsara. The fair value of the royalty obligation was estimated using a risk-adjusted net present value model, based on the contractual royalty rates applied to the future net sales forecast, adjusted by the probability of success of product development and discounted to the effective date of the Royalty Agreement using a 25.0% discount rate. The excess of the royalty liability over the fair value of the repurchased shares of $32.0 million was recorded as a research and development expense in July 2024. Once royalty payments to Samsara are deemed probable and estimable, and if such amounts exceed the initially recorded royalty obligation balance, the Company will impute interest to accrete the liability on a prospective basis based on such estimates. If and when the Company makes royalty payments under the Royalty Agreement, the royalty obligation balance will be reduced.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July 2024 through June 30, 2026, royalty payments were not probable and estimable and, therefore, no interest expense was recognized for the royalty liability.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closing of the Merger on March 18, 2025, all convertible promissory notes were converted, and therefore, there are no outstanding convertible promissory notes, derivative liabilities or tranche liability as of June 30, 2026 and December 31, 2025.</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2024 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Company issued a convertible promissory note to Samsara (the “2024 Note”) for total proceeds of up to $10.0 million. The 2024 Note was payable in two advances at Samsara’s discretion, carried an annual interest rate of 10%, and had an original maturity date of March 2025. In March and May 2024, Samsara advanced to the Company $5.0 million for an aggregate advance of $10.0 million under the 2024 Note. All unpaid interest and principal were due and payable upon request of Samsara on or after maturity, or in the event of default. The Company could not prepay the principal amount and accrued interest at any time before maturity without the consent of Samsara. The outstanding principal amount of the 2024 Note and any unpaid accrued interest would automatically convert upon the Company issuing shares of redeemable preferred stock to investors pursuant to certain qualifying financing events or upon occurrence of change of control events (the “2024 Note Qualified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earlier converted or repaid in connection with the 2024 Note Qualified Financing or a change in control on or prior to the maturity date, or at any time at Samsara’s option, Samsara could have elected to convert the 2024 Note and any unpaid accrued interest into the Company’s common stock at a conversion price equal to the Series B-2 Stock conversion price then in effect.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Note was issued to Samsara at the estimated fair value of $12.1 million at the issuance date. Since the convertible promissory notes were issued to a related party and considered not at arm’s length, the total premium of $2.1 million, which was the difference between the fair value at the issuance date and the principal amount of the note, was recognized as a loss on issuance of convertible promissory notes – related party in the condensed consolidated statement of operations and comprehensive loss and as additional paid-in-capital in the condensed statement of redeemable convertible preferred stock and stockholders’ equity (deficit) in March and May 2024 when amounts were advanced under the 2024 Note. The Company recognized a $0.2 million loss on issuance of convertible promissory notes to a related party for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2024 Note contained embedded features that provided Samsara the right to receive cash or a variable number of shares upon a change in control or the completion of a capital raising transaction by the Company. These embedded features were required to be bifurcated and accounted for separately as a compound derivative instrument. The embedded features were initially and subsequently measured at fair value, with changes in the fair value recorded as a change in fair value of derivative liabilities – related party in the condensed consolidated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a change in the fair value of derivative liability of $0.5 million for the six months ended June 30, 2025. The 2024 Note was converted into shares of common stock, and the derivative liability expired in connection with the closing of the Merger on March 18,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2025, interest expense for the 2024 Note was $0.8 million, including $0.2 million of contractual interest expense and $0.6 million in amortization of debt discount arising from the separation of the derivative instrument. In connection with the closing of the Merger, the $10.0 million aggregate outstanding principal amount and $0.9 million accrued interest of the 2024 Note were converted into 1,757,951 shares of Legacy Kalaris common stock at a conversion price of $6.20 per share.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2024 and 2025 Bridge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Company entered into a convertible note purchase agreement with Samsara to sell and issue convertible promissory notes for an aggregate principal amount of up to $25.0 million. In November 2024, the Company amended the agreement and other existing preferred stockholders of the Company joined the agreement. In October 2024, the Company issued to Samsara a convertible promissory note with an aggregate principal amount of approximately $9.0 million (the “October 2024 Note”). In November 2024, the Company issued additional notes with an aggregate principal amount of approximately $1.0 million to Samsara and other investors (the “November 2024 Notes”, and together with the October 2024 Note, the “2024 Bridge Notes”). The October and November 2024 issuance of convertible notes is referred to as the “First Tranche Closing”. The Company had the right to draw up to an additional $15.0 million in three subsequent tranche closings of up to a maximum aggregate principal amount of $5.0 million in each such closing (each, the “Subsequent Tranche Closing”). The 2024 Bridge Notes carried an annual interest rate of 8%, and had an original maturity date of May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earlier converted or repaid in connection with a qualified financing pursuant to the 2024 Bridge Notes or a change in control on or prior to the maturity date, or at any time at Samsara’s option, Samsara could have elected to convert the 2024 Bridge Notes and any unpaid accrued interest into the Company’s common stock at a conversion price equal to the Series B-2 Stock conversion price then in effect (the “2024 Bridge Notes Optional Conversion”).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that the investors’ right to receive additional convertible promissory notes at a predetermined conversion price under each of the Subsequent Tranche Closing represented freestanding instruments that should be accounted for separately as liabilities, initially recorded and subsequently remeasured at fair value until their exercise or expiration.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Bridge Notes contained embedded features that provided Samsara and other stockholders the right to receive cash or a variable number of shares upon a change in control or the completion of a capital raising transaction by the Company. These embedded features were required to be bifurcated and accounted for separately as a compound derivative instrument. The embedded features were initially and subsequently measured at fair value with changes in the fair value recorded as a change in fair value of derivative liabilities in the condensed consolidated statements of operations and comprehensive loss. The fair value at issuance of the derivative instrument issued with the 2024 Bridge Notes was $1.0 million. The derivative liabilities created a discount on the advances under the 2024 Bridge Notes that were amortized using the effective interest rate method over the term of the respective advance and recorded as a non-cash interest expense. The change in the fair value of derivative liabilities related to the 2024 Bridge Notes was $0.5 million for the six months ended June 30, 2025. The 2024 Bridge Notes were converted into shares of common stock and the derivative liability expired in connection with the closing of the Merger on the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Merger Agreement, the Company was permitted to enter into a series of financings to fund its operations prior to the closing of the Merger in an amount not to exceed $15.0 million in the aggregate on a to be converted post-money basis, with up to $7.5 million to be provided by AlloVir and up to $7.5 million to be provided by Legacy Kalaris’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the Company amended its 2024 Bridge Notes agreement and changed the amounts of Subsequent Tranche Closings from $5.0 million for each tranche to $3.75 million for the first two tranches and $7.5 million for the third tranche. No other changes were made to the terms of the 2024 Bridge Notes. In January 2025, Samsara and other investors funded an aggregate principal amount of $3.75 million in convertible promissory notes (the “2025 Bridge Notes”). The 2025 Bridge Notes’ terms were similar to the 2024 Bridge Notes' terms. Samsara and other investors agreed that the 2025 Bridge Notes would convert into shares of Series B-2 Stock at a price per share equal to the Company Value Per Share, as defined in the Merger Agreement, at the closing of the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2025 Bridge Notes were issued to Samsara and other existing preferred stockholders of the Company at the estimated fair value of $3.9 million at the issuance dates. The premium of $0.2 million, which was the difference between the fair value at the issuance date and the principal amount of the notes, was recognized as additional paid-in-capital in the condensed consolidated statement of redeemable convertible preferred stock and stockholders’ equity (deficit) at the issuance date. The fair value of the notes at issuance was estimated using the probability weighted settlements scenarios model discounted to present value with the following range of assumptions: expected term of 0.2 - 0.3 years, probabilities of scenario achievement of 20% - 80% and a discount rate of 8.5%. The 2025 Bridge Notes contained embedded features that provided Samsara and other stockholders the right to receive cash or a variable number of shares upon a change in control or the completion of a capital raising transaction by the Company.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embedded features were required to be bifurcated and accounted for separately as a compound derivative instrument. The embedded features were initially and subsequently measured at fair value, with changes in the fair value recorded as a change in fair value of derivative liabilities in the condensed consolidated statements of operations and comprehensive loss. The fair value at issuance of the derivative instrument issued with the 2025 Bridge Notes was $0.2 million. The derivative liabilities created a discount on the advances under the 2025 Bridge Notes that were amortized using the effective interest rate method over the term of the respective advance and recorded as a non-cash interest expense. The change in the fair value of derivative liabilities related to the 2025 Bridge Notes was $0.2 million for the six months ended June 30, 2025. The 2025 Bridge Notes were converted into shares of Series B-2 Stock and the derivative liability expired in connection with the closing of the Merger on the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interest expense for the 2024 Bridge Notes and 2025 Bridge Notes was $0.6 million for six months ended June 30, 2025. For the six months ended June 30, 2025, total interest expense consisted of $0.2 million of contractual interest expense and $0.4 million in amortization of debt discount arising from the separation of the derivative instrument.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closing of the Merger, the $10.0 million aggregate outstanding principal amount and $0.3 million accrued interest of the 2024 Bridge Notes converted into 1,660,888 shares of Legacy Kalaris common stock at a conversion price of $6.20 per share. In connection with the closing of the Merger, the $3.75 million aggregate outstanding principal amount and $0.1 million accrued interest of the 2025 Bridge Notes converted into 794,499 shares of Series B-2 Stock at a price of $4.7851 per share, which then converted on a one-for-one basis into shares of Legacy Kalaris common stock, and subsequently into 160,165 shares of AlloVir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the Company and other noteholders entered into an acknowledgment of conversion and termination agreement to cancel all unfunded tranches included in the 2024 Bridge Notes. The Company recognized a gain of $0.4 million in the change in fair value of the tranche liability for the six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January 2025 AlloVir 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the Company issued the AlloVir Note under which AlloVir funded a principal amount of $3.75 million. At the closing of the Merger on March 18, 2025, the AlloVir Note was cancelled in accordance with its terms.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entered into an operating lease agreement for office space in Berkeley Heights, New Jersey. In accordance with ASC 842, Leases (“ASC 842”) the Company has determined the lease commencement occurred in September 2025 upon substantial completion of lessor-owned improvements. The lease is expected to terminate in December 2031, however, the Company has the option to extend the lease term twice for an additional three years. As of June 30, 2026, it is not reasonably certain that the Company will exercise this option to extend. The Company can terminate the lease after four years and four months after the lease commencement date with a termination penalty of $0.3 million. In addition to the base rent, the Company will pay its share of operating expenses and taxes. The lessor provided a tenant improvement allowance of up to $0.4 million, which the Company fully utilized. The Company is responsible for additional improvement expense incurred in excess of the tenant improvement allowance and has incurred $0.1 million of excess costs as of June 30, 2026. The Company records excess costs as payments in the measurement of lease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signing of the lease, the Company secured a letter of credit in favor of the lessor in the amount of $0.5 million, which will be reduced to $0.2 million over five years. The letter of credit is recorded as restricted cash in the condensed consolidated balance sheet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presentation of the Company’s operating lease on its condensed consolidated balance sheet as of June 30, 2026 (in thousands):</w:t>
      </w:r>
    </w:p>
    <w:p>
      <w:pPr>
        <w:pStyle w:val="TextBody"/>
        <w:bidi w:val="0"/>
        <w:jc w:val="left"/>
        <w:rPr/>
      </w:pPr>
      <w:r>
        <w:rPr/>
        <w:t> </w:t>
      </w:r>
    </w:p>
    <w:tbl>
      <w:tblPr>
        <w:tblW w:w="7227" w:type="dxa"/>
        <w:jc w:val="left"/>
        <w:tblInd w:w="0" w:type="dxa"/>
        <w:tblLayout w:type="fixed"/>
        <w:tblCellMar>
          <w:top w:w="28" w:type="dxa"/>
          <w:left w:w="28" w:type="dxa"/>
          <w:bottom w:w="28" w:type="dxa"/>
          <w:right w:w="28" w:type="dxa"/>
        </w:tblCellMar>
      </w:tblPr>
      <w:tblGrid>
        <w:gridCol w:w="2606"/>
        <w:gridCol w:w="146"/>
        <w:gridCol w:w="2956"/>
        <w:gridCol w:w="146"/>
        <w:gridCol w:w="211"/>
        <w:gridCol w:w="571"/>
        <w:gridCol w:w="591"/>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lease cost under ASC 842 included within general and administrative expenses in the Company’s condensed consolidated statements of operations and comprehensive loss were as follows for the three and six months ended June 30, 2026 (in thousands):</w:t>
      </w:r>
    </w:p>
    <w:p>
      <w:pPr>
        <w:pStyle w:val="TextBody"/>
        <w:bidi w:val="0"/>
        <w:jc w:val="left"/>
        <w:rPr/>
      </w:pPr>
      <w:r>
        <w:rPr/>
        <w:t> </w:t>
      </w:r>
    </w:p>
    <w:tbl>
      <w:tblPr>
        <w:tblW w:w="7530" w:type="dxa"/>
        <w:jc w:val="left"/>
        <w:tblInd w:w="0" w:type="dxa"/>
        <w:tblLayout w:type="fixed"/>
        <w:tblCellMar>
          <w:top w:w="28" w:type="dxa"/>
          <w:left w:w="28" w:type="dxa"/>
          <w:bottom w:w="28" w:type="dxa"/>
          <w:right w:w="28" w:type="dxa"/>
        </w:tblCellMar>
      </w:tblPr>
      <w:tblGrid>
        <w:gridCol w:w="1756"/>
        <w:gridCol w:w="146"/>
        <w:gridCol w:w="1066"/>
        <w:gridCol w:w="1604"/>
        <w:gridCol w:w="146"/>
        <w:gridCol w:w="146"/>
        <w:gridCol w:w="824"/>
        <w:gridCol w:w="1651"/>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weighted-average remaining lease term for the operating lease was 5.5 years, and the weighted-average discount rate was 13.12%. Cash paid for amounts included in the measurement of lease liabilities was $0.1 million for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annual lease commitments under the Company's non-cancelable operating lease as of June 30, 2026 was as follows (in thousands):</w:t>
      </w:r>
    </w:p>
    <w:p>
      <w:pPr>
        <w:pStyle w:val="TextBody"/>
        <w:bidi w:val="0"/>
        <w:jc w:val="left"/>
        <w:rPr/>
      </w:pPr>
      <w:r>
        <w:rPr/>
        <w:t> </w:t>
      </w:r>
    </w:p>
    <w:tbl>
      <w:tblPr>
        <w:tblW w:w="5030" w:type="dxa"/>
        <w:jc w:val="left"/>
        <w:tblInd w:w="0" w:type="dxa"/>
        <w:tblLayout w:type="fixed"/>
        <w:tblCellMar>
          <w:top w:w="28" w:type="dxa"/>
          <w:left w:w="28" w:type="dxa"/>
          <w:bottom w:w="28" w:type="dxa"/>
          <w:right w:w="28" w:type="dxa"/>
        </w:tblCellMar>
      </w:tblPr>
      <w:tblGrid>
        <w:gridCol w:w="3611"/>
        <w:gridCol w:w="146"/>
        <w:gridCol w:w="211"/>
        <w:gridCol w:w="571"/>
        <w:gridCol w:w="49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commitments under its operating lease are described in Note 9.</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various agreements in the ordinary course of business, such as those with suppliers, contract development and manufacturing organizations, clinical research organizations, and other research and development vendors. These agreements provide for termination at the request of either party, generally with less than one year’s notice. Therefore, they are cancellable contracts and, if canceled, are not expected to have a material effect on the Company’s financial condition, results of operations, or cash flows.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and Royalty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required to pay certain milestone payments contingent upon the achievement of specific development and regulatory events in accordance with the UCSD Agreement (Note 7). Over the life of the agreement through June 30, 2026, the Company achieved development milestones totaling $0.1 million, which were recorded as research and development expenses. No other milestones were achieved or probable as of June 30, 2026 and December 31, 2025. The Company is required to pay royalties on commercial sales of products developed under the UCSD Agreement. The Company’s product candidate was in clinical development as of June 30, 2026, and no such royalties were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obligated to pay royalties to Samsara under the Royalty Agreement (Note 7). The Company recognized an initial royalty obligation liability in the amount of $32.1 million, which was based on its estimated fair value at the effective date of the Royalty Agreement. Once royalty payments to Samsara are deemed probable and estimable, and if such amounts exceed the royalty liability balance, the Company will impute interest to accrete the royalty obligation on a prospective basis based on such estimates. As of June 30, 2026, these royalties were not probable and estimable.</w:t>
      </w:r>
    </w:p>
    <w:p>
      <w:pPr>
        <w:pStyle w:val="TextBody"/>
        <w:bidi w:val="0"/>
        <w:spacing w:before="360" w:after="283"/>
        <w:jc w:val="left"/>
        <w:rPr>
          <w:rFonts w:ascii="Times New Roman" w:hAnsi="Times New Roman"/>
          <w:sz w:val="20"/>
        </w:rPr>
      </w:pPr>
      <w:r>
        <w:rPr>
          <w:rFonts w:ascii="Times New Roman" w:hAnsi="Times New Roman"/>
          <w:b/>
          <w:i/>
          <w:color w:val="000000"/>
          <w:sz w:val="20"/>
        </w:rPr>
        <w:t>Legal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from time to time, may be a party to litigation arising in the ordinary course of business. If the potential loss from any claim, asserted or unasserted, or legal proceeding is considered probable and the amount is reasonably estimable, the Company will accrue a liability for the estimated loss.</w:t>
      </w:r>
    </w:p>
    <w:p>
      <w:pPr>
        <w:pStyle w:val="TextBody"/>
        <w:bidi w:val="0"/>
        <w:spacing w:before="360" w:after="283"/>
        <w:jc w:val="left"/>
        <w:rPr>
          <w:rFonts w:ascii="Times New Roman" w:hAnsi="Times New Roman"/>
          <w:sz w:val="20"/>
        </w:rPr>
      </w:pPr>
      <w:r>
        <w:rPr>
          <w:rFonts w:ascii="Times New Roman" w:hAnsi="Times New Roman"/>
          <w:b/>
          <w:i/>
          <w:color w:val="000000"/>
          <w:sz w:val="20"/>
        </w:rPr>
        <w:t>Litigation Related to the Merger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complaints were filed by purported AlloVir stockholders as individual actions against AlloVir and the members of its board of directors in the Supreme Court of the State of New York, New York County, captioned Keller v. AlloVir, Inc. et al., No. 650989/2025 (N.Y. Sup. Ct. Feb. 20, 2025), and Morgan v. AlloVir, Inc. et al., No. 650965/2025 (N.Y. Sup. Ct. Feb. 19, 2025) (the “Complaints”). The Complaints alleged that the proxy statement/prospectus describing the transaction between Legacy Kalaris and AlloVir misrepresented and/or omitted certain purportedly material information, and assert claims for negligent misrepresentation and concealment and negligence under New York common law. The Company has not recorded any liabilities in connection with the Complaints, and the Complaints were voluntarily dismissed on April 23,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Litigation Related to Legacy Operations of AlloVir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19, 2024, a purported stockholder of AlloVir filed a lawsuit, captioned Zerbato v. AlloVir, Inc. et al., No. 1:24-cv-10152 (D. Mass.) (the “Securities Class Action”), in the U.S. District Court for the District of Massachusetts (the “Court”) against AlloVir and two of its officers purportedly on behalf of a putative class of stockholders. On April 16, 2024, the Court appointed stockholders Harry Levin and Julio Maurice Bueno as lead plaintiffs and their counsel as lead counsel in the action. On June 17, 2024, lead plaintiffs filed their amended complaint. In the amended complaint, lead plaintiffs asserted claims purportedly on behalf of a putative class of stockholders consisting of persons who purchased or otherwise acquired AlloVir securities between January 11, 2023 and December 21, 2023, inclusive. The amended complaint asserted claims under Sections 10(b) and 20(a) of the Securities Exchange Act of 1934, as amended, and the related regulations, alleging that the defendants made false and misleading statements and omissions to investors relating to AlloVir’s three Phase 3 studies of posoleucel. The complaint sought, among other things, damages, prejudgment and post-judgment interest, and attorneys’ fees, expert fees and other costs. On April 14, 2025, the parties executed a definitive stipulation and agreement of settlement resolving the claims in the Securities Class Action for $1.0 million. On July 30, 2025, the Court entered an order granting final approval of the settlement and dismissing the Securities Class Action with prejudice.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21, 2024, a purported AlloVir stockholder filed a derivative lawsuit, captioned Lister v. Brainard et al., No. 1:24-cv-12658 (D. Mass.), in the U.S. District Court for the District of Massachusetts against certain of AlloVir’s officers and directors and naming AlloVir as a nominal defendant. The derivative complaint alleged, purportedly on behalf of AlloVir, violations of Section 14(a) of the Securities Exchange Act of 1934, breach of fiduciary duties, unjust enrichment, waste of corporate assets, gross mismanagement, and abuse of control against the individual defendants and contribution under Sections 10(b) and 21D of the Securities Exchange Act of 1934 against Dr. Brainard and Mr. Sinha. These claims were based on substantially identical allegations as the complaint in the above-listed Securities Class Action. The lawsuit sought, among other things, an award of damages and restitution in favor of AlloVir, certain changes to AlloVir’s corporate governance, and attorneys’ fees and costs. On August 1, 2025, the plaintiff filed a notice voluntarily dismissing the derivative lawsuit without prejudice.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Guarantees and 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June 30, 2026 and December 31, 2025, the Company does not have any material indemnification claims that were probable or reasonably possible. </w:t>
      </w:r>
    </w:p>
    <w:p>
      <w:pPr>
        <w:pStyle w:val="TextBody"/>
        <w:bidi w:val="0"/>
        <w:spacing w:before="360" w:after="283"/>
        <w:jc w:val="left"/>
        <w:rPr>
          <w:rFonts w:ascii="Times New Roman" w:hAnsi="Times New Roman"/>
          <w:sz w:val="20"/>
        </w:rPr>
      </w:pPr>
      <w:r>
        <w:rPr>
          <w:rFonts w:ascii="Times New Roman" w:hAnsi="Times New Roman"/>
          <w:b/>
          <w:color w:val="000000"/>
          <w:sz w:val="20"/>
        </w:rPr>
        <w:t>11. 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issued 1,280,000 shares of Series B-2 Stock at a price of $1.25 per share for gross cash proceeds of $1.6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Merger on March 18, 2025, all outstanding shares of redeemable convertible preferred stock were automatically converted into shares of common stock and no redeemable convertible preferred stock was outstanding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Stockholders’ Equity (Deficit)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Company’s certificate of incorporation authorized the Company to issue 300,000,000 shares of common stock, par value $0.0001 per share, and 10,000,000 shares of preferred stock, par value $0.0001 per share. There were no shares of preferred stock issued or outstanding as of June 30, 2026 and December 31, 2025. The voting, dividend and liquidation rights of the holders of the Company’s common stock are subject to and qualified by the rights, powers and preferences of the holders of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the Company’s common stock are entitled to one vote for each share of common stock held on all matters submitted to a vote of the stockholders, and the holders of our common stock do not have any cumulative voting rights. The number of authorized shares of common stock may from time to time be increased or decreased (but not below the number of shares of such class outstanding) by the affirmative vote of the holders of a majority in voting power of the outstanding shares of capital stock of the Company.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2025, the Company entered into a Securities Purchase Agreement (the “2025 Securities Purchase Agreement”) with certain institutional investors (the “PIPE Investors”) named therein. Pursuant to the 2025 Securities Purchase Agreement, the Company issued and sold to the PIPE Investors in a private placement (the “2025 Private Placement”) an aggregate of (i) 4,200,000 shares of the Company’s common stock at a purchase price of $10.00 per share, for aggregate gross proceeds of $42.0 million, and (ii) pre-funded warrants (“Pre-Funded Warrants”) to purchase up to an aggregate of 800,000 shares of the Company’s common stock at a purchase price of $9.9999 per Pre-Funded Warrant, which represents the per share purchase price of the Company’s common stock less the $0.0001 per share exercise price for each Pre-Funded Warrant, for total aggregate proceeds of $8.0 million. The Pre-Funded Warrants are exercisable at any time after the date of issuance and will be exercisable until the Pre-Funded Warrant is exercised in full. The 2025 Private Placement closed on December 22, 2025, for aggregate gross proceeds of $50.0 million, before deducting placement agent fees and offering expenses of $3.4 million, for net proceeds of $46.6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Pre-Funded Warrants, the Company may not effect the exercise of any portion of such Pre-Funded Warrant, and a holder will not be entitled to exercise any portion of such Pre-Funded Warrant, if, upon giving effect to such exercise, the holder, together with its affiliates, would beneficially own more than 4.99% or 9.99%, at the option of the holder, of the number of shares of common stock outstanding immediately after giving effect to such exercise. The holders of Pre-Funded Warrants may increase or decrease such percentage by providing at least 61 days’ prior notice to the Company, provided that such percentage may in no event exceed 19.99%. The Pre-Funded Warrants are indexed to the Company's common stock and none of the provisions of the warrant would require a cash settlement. Therefore, the Pre-Funded Warrants were classified as a component of equity in the Company’s consolidated balance sheet upon entering into the 2025 Securities Purchase Agreement as they were freestanding financial instruments that were immediately exercisable, did not embody an obligation for the Company to repurchase its own shares and entitled the holder to receive a fixed number of shares of common stock upon exercise. On April 13, 2026, all of the Pre-Funded Warrants were exercised on a cashless basis, resulting in the issuance of 799,987 shares of the Company’s common stock. As of June 30, 2026, no Pre-Funded Warrants remained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 2026, the Company filed a shelf registration statement on Form S-3 with the SEC, which was declared effective on April 13, 2026 (the “Shelf Registration Statement”). Under the Shelf Registration Statement, the Company may offer and sell up to $350.0 million of a variety of securities including common stock, preferred stock, debt securities, subscription rights, warrants or units during the three-year period that commenced upon the Shelf Registration becoming effective. In connection with the filing of the Shelf Registration Statement, the Company entered into a Common Stock Sales Agreement (the “Sales Agreement”) with TD Securities (USA) LLC (“TD Cowen”), pursuant to which the Company may issue and sell, from time to time, up to an aggregate of $100.0 million of its common stock in an at-the-market equity offering through TD Cowen, as sales agent (the “At-the-Market Offering”). TD Cowen is entitled to receive compensation equal to up to 3.0% of the gross sales price of the shares of common stock sold pursuant to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not sold any shares of its common stock pursuant to the At-the-Market Offering. As of June 30, 2026, the Company had capitalized $0.5 million of deferred transaction costs related to the At-the-Market Offering, which are included in current assets on the consolidated balance sheets. The capitalized deferred transaction costs will be reclassified to additional paid-in capital as a reduction of the gross proceeds received upon the sale of common stock under the At-the-Market Offering on a pro-rata basis. Compensation paid to TD Cowen will similarly be recorded as a reduction of additional paid-in capital in the period the related shares are issued and sold. Any deferred costs remaining at the termination or expiration of the Sales Agreement will be charged to expense at that time. Costs incurred to maintain the At-the-Market Offering will be expensed as incurred.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shares of common stock reserved for future issuance were as follows: </w:t>
      </w:r>
    </w:p>
    <w:p>
      <w:pPr>
        <w:pStyle w:val="TextBody"/>
        <w:bidi w:val="0"/>
        <w:jc w:val="left"/>
        <w:rPr/>
      </w:pPr>
      <w:r>
        <w:rPr/>
        <w:t> </w:t>
      </w:r>
    </w:p>
    <w:tbl>
      <w:tblPr>
        <w:tblW w:w="8127" w:type="dxa"/>
        <w:jc w:val="left"/>
        <w:tblInd w:w="0" w:type="dxa"/>
        <w:tblLayout w:type="fixed"/>
        <w:tblCellMar>
          <w:top w:w="28" w:type="dxa"/>
          <w:left w:w="28" w:type="dxa"/>
          <w:bottom w:w="28" w:type="dxa"/>
          <w:right w:w="28" w:type="dxa"/>
        </w:tblCellMar>
      </w:tblPr>
      <w:tblGrid>
        <w:gridCol w:w="5326"/>
        <w:gridCol w:w="146"/>
        <w:gridCol w:w="146"/>
        <w:gridCol w:w="931"/>
        <w:gridCol w:w="146"/>
        <w:gridCol w:w="146"/>
        <w:gridCol w:w="148"/>
        <w:gridCol w:w="947"/>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2,142,278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options grants under the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the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4,372,007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Equity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of the Merger, the Company assumed the 2019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Merger, AlloVir’s stockholders approved an amendment to AlloVir’s 2020 Stock Option and Grant Plan (as amended, the “2020 Plan” and together with the 2019 Plan, the “Equity Plans”) to increase the number of shares reserved for future issuance under the 2020 Plan, which is subject to an annual increase on January 1 of each year from 2026 and thereafter, such that the number of shares of common stock reserved and available for issuance under the 2020 Plan is cumulatively increased by 5% of the number of shares of common stock issued and outstanding on the immediately preceding December 31, or such lesser number of shares as approved by the plan administrator; to establish the maximum aggregate number of shares of stock that may be issued in the form of incentive stock options (“ISOs”) shall not exceed 15,250,000 and to extend the term of the 2020 Plan to the tenth anniversary of the closing of the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Equity Plans, the Company may grant ISOs, nonqualified stock options (“NSO”), restricted stock awards (“RSAs”), restricted stock unit awards and other stock awards to the Company’s employees, officers, non-employee directors, consultants, and advisors. Options to purchase common stock may be granted at a price not less than the fair market value as established by the board of directors in the case of both NSOs and ISOs. Stock option grants under the Equity Plans generally vest over four years. All options expire no later than ten years from the date of grant. The exercise price of ISOs granted to an employee who owns more than 10% of the voting power of all classes of stock of the Company shall be no less than 110% of the estimated fair market value of the underlying common stock on the grant date, and the contractual term is no longer than five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1,588,703 shares of common stock had been authorized for issuance and 434,158 shares were available for future grants under the 2019 Plan and 3,414,594 shares of common stock had been authorized for issuance and 1,525,092 shares were available for future grants under the 2020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stock options with service-based vesting conditions. Stock options typically vest over four years and have a maximum term of ten years. The Company typically grants stock options to employees and non-employees at exercise prices deemed to be equal to the fair value of the common stock at the time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Black-Scholes option pricing model, used to estimate the fair value of stock-based awards, requires the use of the following assumptions: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Fair Value of Common Stock. </w:t>
      </w:r>
      <w:r>
        <w:rPr>
          <w:rFonts w:ascii="Times New Roman" w:hAnsi="Times New Roman"/>
          <w:color w:val="000000"/>
          <w:sz w:val="20"/>
        </w:rPr>
        <w:t xml:space="preserve">Prior to the Merger, the fair market value of Legacy Kalaris’ common stock was determined by the board of directors of Legacy Kalaris with assistance from management of Legacy Kalaris and external valuation experts. The approach to estimating the fair market value of common stock is consistent with the methods outlined in the American Institute of Certified Public Accountants’ Accounting and Valuation Guide, </w:t>
      </w:r>
      <w:r>
        <w:rPr>
          <w:rFonts w:ascii="Times New Roman" w:hAnsi="Times New Roman"/>
          <w:i/>
          <w:color w:val="000000"/>
          <w:sz w:val="20"/>
        </w:rPr>
        <w:t>Valuation of Privately- Held-Company Equity Securities Issued as Compensation</w:t>
      </w:r>
      <w:r>
        <w:rPr>
          <w:rFonts w:ascii="Times New Roman" w:hAnsi="Times New Roman"/>
          <w:color w:val="000000"/>
          <w:sz w:val="20"/>
        </w:rPr>
        <w:t>. After the closing of the Merger, the fair value of common stock is the Company’s closing price per share on the Nasdaq Global Market on the grant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Expected Term. </w:t>
      </w:r>
      <w:r>
        <w:rPr>
          <w:rFonts w:ascii="Times New Roman" w:hAnsi="Times New Roman"/>
          <w:color w:val="000000"/>
          <w:sz w:val="20"/>
        </w:rPr>
        <w:t xml:space="preserve">The expected term of options granted represents the period of time that the options are expected to be outstanding. Due to the lack of historical exercise history, the expected term of the Company’s employee and non-employee stock options has been determined by calculating the midpoint of the contractual term of the options and the weighted-average vesting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Expected Volatility. </w:t>
      </w:r>
      <w:r>
        <w:rPr>
          <w:rFonts w:ascii="Times New Roman" w:hAnsi="Times New Roman"/>
          <w:color w:val="000000"/>
          <w:sz w:val="20"/>
        </w:rPr>
        <w:t xml:space="preserve">The expected stock price volatility assumption was determined by examining the historical volatilities for comparable public companies, as the Company has limited trading history for the common stock.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Risk-Free Interest Rate. </w:t>
      </w:r>
      <w:r>
        <w:rPr>
          <w:rFonts w:ascii="Times New Roman" w:hAnsi="Times New Roman"/>
          <w:color w:val="000000"/>
          <w:sz w:val="20"/>
        </w:rPr>
        <w:t xml:space="preserve">The risk-free interest rate assumption is based on the U.S. Treasury zero-coupon issued in effect at the time of grant for periods corresponding with the expected term of the option.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Dividends. </w:t>
      </w:r>
      <w:r>
        <w:rPr>
          <w:rFonts w:ascii="Times New Roman" w:hAnsi="Times New Roman"/>
          <w:color w:val="000000"/>
          <w:sz w:val="20"/>
        </w:rPr>
        <w:t xml:space="preserve">The Company has not paid any dividends on its common stock since inception and does not anticipate paying any dividends in the foreseeable future. Consequently, an expected dividend yield of zero was used.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under the Equity Plans for the six months ended June 30, 2026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4"/>
        <w:gridCol w:w="146"/>
        <w:gridCol w:w="240"/>
        <w:gridCol w:w="1533"/>
        <w:gridCol w:w="166"/>
        <w:gridCol w:w="146"/>
        <w:gridCol w:w="541"/>
        <w:gridCol w:w="1198"/>
        <w:gridCol w:w="146"/>
        <w:gridCol w:w="146"/>
        <w:gridCol w:w="526"/>
        <w:gridCol w:w="1685"/>
        <w:gridCol w:w="146"/>
        <w:gridCol w:w="146"/>
        <w:gridCol w:w="383"/>
        <w:gridCol w:w="1038"/>
        <w:gridCol w:w="195"/>
      </w:tblGrid>
      <w:tr>
        <w:trPr/>
        <w:tc>
          <w:tcPr>
            <w:tcW w:w="1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Aggregate intrinsic value represents the difference between the fair value of the underlying common stock and the exercise price as of June 30, 2026. 102,576 shares were exercised during the six months ended June 30, 2026, and no shares were exercised during the six months ended June 30, 2025. The weighted-average fair value per share of options exercised during six months ended June 30, 2026 and 2025 was $2.90 and immaterial, respectively. The aggregate intrinsic value of options exercised during the six months ended June 30, 2026 and 2025 was $0.6 million and immaterial,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fair value of options that vested during the six months ended June 30, 2026 and 2025 was $1.7 million and $0.5 million, respectively. No options were granted during the three months ended June 30, 2025. As of June 30, 2026 the total unrecognized stock-based compensation expense was $8.1 million, which is expected to be recognized over a weighted-average period of 2.9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RSAs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2022, the Company issued RSAs to its former president for 203,670 shares and a consultant for 13,577 shares, in each case, at a purchase price of $0.005 per share under the 2019 Plan. The shares related to each of the former president’s award and the consultant's awards are fully vested. The Company issued one share of common stock for each whole RSA that vested, subject to satisfaction of the employee's tax withholding obligations. Shares purchased pursuant to these awards participate in dividends and voting, are legally outstanding, and are presented as outstanding shares; however, for accounting purposes, shares purchased by employees pursuant to RSAs are not considered issued until they vest according to their respective vesting schedules. Proceeds received from the issuance of RSAs are recorded as a share repurchase liability within accrued expenses and other current liabilities on the condensed consolidated balance sheet and reclassified to additional paid-in capital when the awards vested.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RSAs activity under the 2019 Plan for the six months ended June 30, 2026 is as follows: </w:t>
      </w:r>
    </w:p>
    <w:p>
      <w:pPr>
        <w:pStyle w:val="TextBody"/>
        <w:bidi w:val="0"/>
        <w:jc w:val="left"/>
        <w:rPr/>
      </w:pPr>
      <w:r>
        <w:rPr/>
        <w:t> </w:t>
      </w:r>
    </w:p>
    <w:tbl>
      <w:tblPr>
        <w:tblW w:w="6536" w:type="dxa"/>
        <w:jc w:val="left"/>
        <w:tblInd w:w="0" w:type="dxa"/>
        <w:tblLayout w:type="fixed"/>
        <w:tblCellMar>
          <w:top w:w="28" w:type="dxa"/>
          <w:left w:w="28" w:type="dxa"/>
          <w:bottom w:w="28" w:type="dxa"/>
          <w:right w:w="28" w:type="dxa"/>
        </w:tblCellMar>
      </w:tblPr>
      <w:tblGrid>
        <w:gridCol w:w="2926"/>
        <w:gridCol w:w="146"/>
        <w:gridCol w:w="299"/>
        <w:gridCol w:w="991"/>
        <w:gridCol w:w="166"/>
        <w:gridCol w:w="146"/>
        <w:gridCol w:w="458"/>
        <w:gridCol w:w="1013"/>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w:t>
              <w:br/>
              <w:t>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RSAs were granted during the three and six months ended June 30, 2026 and 2025. The total fair value of RSAs vested during the three and six months ended June 30, 2026 and 2025 was immaterial. No RSAs were repurchased or cancelled during the three and six months ended June 30, 2026 and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can issue common stock shares to its employees under the 2020 Employee Stock Purchase Plan (the “2020 ESPP”). The number of shares of common stock reserved and available for issuance under the 2020 ESPP is cumulatively increased on each January 1 by the lesser of (i) 53,161 shares of common stock, (ii) 1% of the number of shares of common stock issued and outstanding on the immediately preceding December 31, and (iii) such number of shares of common stock as determined by the plan administrator. On June 30, 2026, there was an aggregate of 172,487 shares reserved for future issuance under the 2020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allows eligible employees to authorize payroll deductions of up to 15%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Market (i) on the first trading day of the offering period or (ii) the last day of any offering period. The Company utilizes the Black Scholes option pricing model to compute the fair market value of the shares and stock-based compensation expense is recognized over the offering period. Six-month offering periods commence each January 1 and July 1 during the term of the plan, with the plan administrator having the right to establish different offering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issue shares of common stock under the 2020 ESPP during the three and six months ended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included in the Company’s condensed consolidated statements of operations and comprehensive loss for the three and six months ended June 30, 2026 and 2025 is as follows (in thousands):</w:t>
      </w:r>
    </w:p>
    <w:p>
      <w:pPr>
        <w:pStyle w:val="TextBody"/>
        <w:bidi w:val="0"/>
        <w:jc w:val="left"/>
        <w:rPr/>
      </w:pPr>
      <w:r>
        <w:rPr/>
        <w:t> </w:t>
      </w:r>
    </w:p>
    <w:tbl>
      <w:tblPr>
        <w:tblW w:w="9014" w:type="dxa"/>
        <w:jc w:val="left"/>
        <w:tblInd w:w="0" w:type="dxa"/>
        <w:tblLayout w:type="fixed"/>
        <w:tblCellMar>
          <w:top w:w="28" w:type="dxa"/>
          <w:left w:w="28" w:type="dxa"/>
          <w:bottom w:w="28" w:type="dxa"/>
          <w:right w:w="28" w:type="dxa"/>
        </w:tblCellMar>
      </w:tblPr>
      <w:tblGrid>
        <w:gridCol w:w="3651"/>
        <w:gridCol w:w="346"/>
        <w:gridCol w:w="307"/>
        <w:gridCol w:w="613"/>
        <w:gridCol w:w="212"/>
        <w:gridCol w:w="212"/>
        <w:gridCol w:w="307"/>
        <w:gridCol w:w="613"/>
        <w:gridCol w:w="146"/>
        <w:gridCol w:w="146"/>
        <w:gridCol w:w="256"/>
        <w:gridCol w:w="693"/>
        <w:gridCol w:w="177"/>
        <w:gridCol w:w="177"/>
        <w:gridCol w:w="256"/>
        <w:gridCol w:w="51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14. 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for the three and six months ended June 30, 2026 and 2025 was calculated as follows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23,797,306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23,760,665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11,419,020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common shares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23,797,306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18,701,286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23,760,665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11,417,677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described in Note 12, the Pre-Funded Warrants to purchase up to an aggregate of 800,000 shares of the Company's common stock at a purchase price of $9.9999 per Pre-Funded Warrant were classified as a component of equity in the Company's condensed consolidated balance sheets upon entering the 2025 Securities Purchase Agreement because they were freestanding financial instruments that were immediately exercisable, did not embody an obligation for the Company to repurchase its own shares, and entitled the holder to receive a fixed number of shares of common stock upon exercise. All of the shares underlying the Pre-Funded Warrants were included in the weighted-average number of shares of common stock used to calculate basic and diluted net loss per common share upon entering the 2025 Securities Purchase Agreement because the shares may have been issued for little or no consideration, were fully vested, and were exercisable after the original issuance date of the Pre-Funded Warrants. On April 13, 2026, all of the Pre-Funded Warrants were exercised on a cashless basis, resulting in the issuance of 799,987 shares of the Company’s common stock. As of June 30, 2026, no Pre-Funded Warrants remained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potential shares of common stock were excluded from the computation of diluted net loss per share attributable to common stockholders as of June 30, 2026 and 2025 because including them would have had an anti-dilutive effect. The excluded shares were as follows: </w:t>
      </w:r>
    </w:p>
    <w:p>
      <w:pPr>
        <w:pStyle w:val="TextBody"/>
        <w:bidi w:val="0"/>
        <w:jc w:val="left"/>
        <w:rPr/>
      </w:pPr>
      <w:r>
        <w:rPr/>
        <w:t> </w:t>
      </w:r>
    </w:p>
    <w:tbl>
      <w:tblPr>
        <w:tblW w:w="6774"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15. 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Samsara BioCapital L.P. and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Company’s inception, Samsara has provided in-kind research and development and general and administrative services to the Company. From April 2022, Samsara also began to provide general and administrative services for cash consideration related to (i) accounting and controllership, (ii) human resources, and (iii) executive assistance. In July 2023, the Company and Samsara entered into a Business Services Agreement (the “BSA”) that governs the provision of such services. The BSA has a term of five years and may be terminated upon 15 days written notice by either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general and administrative expense related to services provided by Samsara under the BSA of $0.1 million and $0.04 million for the three months ended June 30, 2026 and 2025, respectively, and $0.2 million for each of the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capital contributions related to services provided by Samsara were recognized for the three and six months ended June 30, 2026 and 2025 as Samsara stopped providing in-kind services in July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recognized $0.05 million and $0.1 million in accrued expenses and other current liabilities in the condensed consolidated balance sheets related to the services provided by Samsara under the BSA. As of June 30, 2026 and December 31, 2025, the Company recognized immaterial amounts in accounts payable in the condensed consolidated balance sheets related to the services provided by Samsara under the BSA. The Company recognized a $32.1 million royalty obligation - related party, as a long-term liability, under the Royalty Agreement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issued Samsara convertible promissory notes (Note 8), redeemable convertible preferred stock and common stock. In July 2024, the Company entered into a Royalty Agreement with Samsara (Note 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Members of the Company’s board of directors received $0.02 million and $0.03 million in consulting fees for each of the three and six months ended June 30, 2026,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16. Defined Contribution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401(k) plan (the “401(k) Plan”), which is designed to be qualified under Section 401(k) of the Internal Revenue Code of 1986, as amended. Eligible employees can elect to contribute to the 401(k) Plan, subject to certain limitations on eligible compensation. The Company may match employee contributions in amounts to be determined at the Company’s sole discretion. The Company’s matching contributions during each of the three and six months ended June 30, 2026 and 2025 were immaterial.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The Company's Chief Executive Officer is the Company's chief operating decision maker (the “CODM”). The CODM reviews and evaluates net loss, as reported in the condensed consolidated statements of operations and comprehensive loss, for purposes of assessing performance, making operating decisions, allocating resources, and planning and forecasting for future periods on an aggregate basis. The CODM does not review assets at a different level or category than the amounts disclosed in the condensed consolidated balance sheets as total assets. All of the Company’s long-lived assets are located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the Company’s summary of segment loss, including significant segment expenses for the three and six months ended June 30, 2026 and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0"/>
        <w:gridCol w:w="146"/>
        <w:gridCol w:w="214"/>
        <w:gridCol w:w="751"/>
        <w:gridCol w:w="169"/>
        <w:gridCol w:w="148"/>
        <w:gridCol w:w="214"/>
        <w:gridCol w:w="751"/>
        <w:gridCol w:w="166"/>
        <w:gridCol w:w="146"/>
        <w:gridCol w:w="211"/>
        <w:gridCol w:w="736"/>
        <w:gridCol w:w="166"/>
        <w:gridCol w:w="146"/>
        <w:gridCol w:w="211"/>
        <w:gridCol w:w="736"/>
        <w:gridCol w:w="394"/>
      </w:tblGrid>
      <w:tr>
        <w:trPr/>
        <w:tc>
          <w:tcPr>
            <w:tcW w:w="4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CDMO, CRO and other third-party clinical trials and consulting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research and development 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i/>
          <w:color w:val="000000"/>
          <w:sz w:val="20"/>
        </w:rPr>
        <w:t>Other segment items include change in fair value of tranche liability, change in fair value of derivative liabilities, loss on extinguishment and on issuance of convertible promissory notes and other income, net.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2" w:name="item_2_mda"/>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thereto appearing elsewhere in this Quarterly Report. This Quarterly Report contains forward-looking statements that involve risks and uncertainties, such as our plans, objectives, expectations, intentions, and beliefs. There are a number of important risks and uncertainties that could cause our actual results to differ materially from those discussed in these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Factors that could cause or contribute to such differences include, but are not limited to, those identified below and those discussed in the section titled “Risk Factors” under Part II, Item 1A of this Quarterly Report and those discussed in our other disclosures and filings. Our forward-looking statements do not reflect the potential impact of any future acquisitions, mergers, dispositions, joint ventures or investments that we may make. All historical common share data and per-share amounts prior to the Merger (as defined below) have been retrospectively adjusted to reflect the exchange ratio of 0.2016 per one share, which was determined in accordance with the Merger Agreement (as defined below).</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 stage biopharmaceutical company dedicated to the development and commercialization of treatments for prevalent retinal diseases with major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developing TH103, a novel, clinical stage anti-vascular endothelial growth factor (“VEGF”) drug, specifically engineered to achieve extended intraocular retention with enhanced VEGF inhibition in patients with exudative and/or neovascular retinal diseases. TH103 is a fully humanized recombinant fusion protein, functioning as a “decoy receptor” (a VEGF trap), leveraging salient molecular properties of the human body’s native, highest affinity VEGF receptor 1. In head-to-head preclinical studies, TH103 showed more anti-VEGF activity and longer duration of activity compared to aflibercept, the current global market-leading anti-VEGF agent, which also functions as a decoy receptor VEGF trap but differs from TH103 in key molecular elements. We are investigating TH103 as a treatment for patients with neovascular Age-related Macular Degeneration (“nAMD”), a leading cause of blindness in the United States and Europe that affects an estimated 1.6 million adults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2026, we announced positive additional data from our Phase 1a single-ascending dose (“SAD”) clinical trial of TH103 for nAMD. The expanded Phase 1a SAD dataset included a total of 17 treatment-naive patients, as well as an additional three treatment-experienced patients which were included in the safety cohort. All 20 patients completed six months of follow-up. Consistent with the preliminary data from the Phase 1a clinical trial announced in December 2025, the additional data showed that TH103 was generally well tolerated and exhibited improvements on key functional and anatomical outcomes at 1-month post-dosing. Data from treatment-naive patients in the Phase 1a SAD trial (N=17) demonstrated a rapid, robust response on best corrected visual acuity (“BCVA”) and optical coherence tomography parameters across dose levels at one month following a single injection of TH103, including mean 9.2-letter BCVA improvement, mean 118μm improvement in central subfield thickness (“CST”), and mean 93% reduction in central subfield intraretinal fluid (“CSF”). TH103 plasma pharmacokinetic findings continued to suggest greater intraocular retention, with 27- to 53-fold lower Cmax compared to current leading anti-VEGF agents on a molar equivalence basis. Additionally, the time to retreatment results further supported the hypothesis that increased intraocular retention may contribute to prolonged biological activity: following only a single TH103 injection in treatment-naïve patients (N=17), 41% received a first retreatment at four months or later, 35% at five months or later, and 29% received no additional anti-VEGF treatment during the entire six-month follow-up period. Separately, after a single TH103 injection treatment-experienced patients (N=3), time to retreatment was an average of two months longer than prior anti-VEGF treatment intervals. No cases of intraocular inflammation (“IOI”) were observed among the six patients treated at the 2.5 mg dose using product manufactured following process adjustments to reduce impurities; one patient treated at the 5.0 mg dose experienced transient IOI that resolved without sequelae.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conducting a Phase 1b/2 multiple ascending dose clinical trial of TH103 in patients with nAMD, which is intended to build upon our Phase 1a single ascending dose clinical trial. The Phase 1b/2 dose-finding trial is designed to evaluate multiple dose levels of TH103 in up to 80 nAMD patients. In the trial, patients are expected to receive up to four monthly loading doses of intravitreally administered TH103 at a range of dose levels. Assessments are expected to include safety and preliminary efficacy with a primary time point for analysis at one month following the last TH103 injection. Patients will then be followed in an extension phase of the study. Following the implementation of additional manufacturing process refinements, patients in the Phase 1b/2 multiple ascending dose study are now receiving new batches of clinical trial material with lower levels of impurities. We expect to report preliminary data from the Phase 1b/2 clinical trial in the first half of 2027.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Assuming successful completion of the ongoing Phase 1b/2 clinical trial of TH103, and subject to the favorable results from such trial and discussions with regulators, we intend to initiate Phase 3 clinical trials of TH103 for nAMD by year-end 2027. We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plan to expand the development of TH103 beyond nAMD into other prevalent VEGF-mediated retinal diseases, such as Diabetic Macular Edema (“DME”), diabetic retinopathy (“DR”), and Retinal Vein Occlusion.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September 2019, we have devoted substantially all of our resources to organizing and staffing, business planning, raising capital, acquiring technology, establishing our intellectual property portfolio and performing research and development of our product candidate. We do not have any products approved for sale and have not generated any revenue from product sales or otherwise. We have incurred significant losses and negative cash flows from operations since our inception. Our net losses were $22.4 million and $21.5 million for the six months ended June 30, 2026 and 2025, respectively. Our negative cash flows from operations were $22.6 million and $20.0 million for the six months ended June 30, 2026 and 2025, respectively. As of June 30, 2026, we had an accumulated deficit of $182.4 million. To date, we have funded our operations primarily from sales of our redeemable convertible preferred stock, issuances of convertible promissory notes and a simple agreement for future equity (“SAFE”), from cash and cash equivalents of AlloVir, Inc. (“AlloVir”) received in the Merger (as defined below), and from proceeds from the 2025 Private Placement (as defined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inception through June 30, 2026, we have received gross proceeds of $67.5 million from sales of redeemable convertible preferred stock, issuances of convertible promissory notes and a SAFE, we received cash and cash equivalents of AlloVir of approximately $102.1 million in the Merger, and we received aggregate gross proceeds of $50.0 million from the 2025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$93.5 million in cash, cash equivalents and marketable securities. Based on our current operating plans, our management expects that our cash, cash equivalents and marketable securities will be sufficient to fund our operating expenses and capital expenditure requirements into the fourth quarter of 2027. However, management has based these estimates on assumptions that may prove to be wrong, and our operating plans may change as a result of many factors currently unknown to us. In addition, changing circumstances could cause us to consume capital significantly faster than we currently anticipate, and we may need to spend more than currently expected because of circumstances beyond our control. As a result, we could deplete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substantial losses for the foreseeable future, including costs associated with operating as a public company. We do not expect to generate any revenue from commercial product sales unless and until we successfully complete development and obtain regulatory approval for our product candidate. Our ability to generate product revenue sufficient to achieve profitability will depend heavily on the successful development and eventual commercialization of our product candidate, which may never occur. We may never achieve or maintain profitability. Accordingly, we will need to obtain substantial additional funding in connection with our continuing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ongoing Phase 1a and Phase 1b/2 clinical trials of TH103 in patients with nAMD;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progress the development of TH103 in future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any future product candidate that we may develop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TH103 and any other product candidate that successfully completes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and maintain additional collaborations and license agreements, and the success of those collaborations and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any payments under our existing or future strategic collaboration agreements, licensing agreements or sponsored research agreements, including with the University of California, San Diego (“UCSD”);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establish a sales, marketing and distribution infrastructure to commercialize any product candidate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generate revenue from commercial sales of product candidates that may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regulatory, manufacturing, quality control, development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in-license or acquire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commercial manufacturing source and secure supply chain capacity sufficient to provide commercial quantities of any product candidates we may develop for which we obtain regulatory approval;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planned future commercialization efforts and our operations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own or operate any drug development or manufacturing facilities. We rely on Contract Development and Manufacturing Organizations (“CDMOs”) to help develop and produce TH103 in accordance with the U.S. Food and Drug Administration’s (“FDA”) current Good Manufacturing Practices regulations for use in our clinical trials. We use external contract research organizations (“CROs”) to conduct our preclinical studies and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our stage of development, we do not yet have a marketing or sales organization or commercial infrastructure. Accordingly, if we obtain regulatory approval for our product candidate, we also expect to incur significant commercialization expenses related to product sales, marketing, manufacturing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our management is unable to predict the timing or amount of increased expenses or when or if we will be able to achieve or maintain profitability, if at all. Even if we are able to generate revenue from the sale of our product candidate, we may not achieve or maintain profitability. If we fail to become profitable or are unable to sustain profitability on a continuing basis, we may be unable to continue our operations at planned levels and may be forced to reduce our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disruption and volatility in the global and domestic capital markets resulting from heightened inflation, current and potential tariffs and other trade restrictions, interest rate and currency rate fluctuations, disruptions at government agencies under the U.S. administration (such as workforce reductions or funding cuts), any potential economic slowdown or recession, including trade wars or civil or political unrest (such as the ongoing war between Ukraine and Russia, conflicts in the Middle East, and tension between China and Taiwan) may increase the cost of capital and limit our ability to access capital. These and similar adverse market conditions may negatively impact our business, financial position and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Additionally, in 2025, the U.S. government initiated a series of tariff-related actions against U.S. trading partners, described below under the heading, “</w:t>
      </w:r>
      <w:r>
        <w:rPr>
          <w:rFonts w:ascii="Times New Roman" w:hAnsi="Times New Roman"/>
          <w:i/>
          <w:color w:val="000000"/>
          <w:sz w:val="20"/>
        </w:rPr>
        <w:t>Changes in and uncertainty surrounding U.S. and international trade policy could have a material adverse impact on our business, financial condition and results of operations</w:t>
      </w:r>
      <w:r>
        <w:rPr>
          <w:rFonts w:ascii="Times New Roman" w:hAnsi="Times New Roman"/>
          <w:color w:val="000000"/>
          <w:sz w:val="20"/>
        </w:rPr>
        <w:t>” in Part II, Item 1A of this Quarterly Report . Tariff-related actions are likely to remain a prominent part of U.S. economic policy for the foreseeable future, which may introduce uncertainty in international trade, including impacts to the costs of materials and production processes, supply chain stability, and other factors. While we have not experienced, and do not currently expect to experience, any direct impact from these tariffs and retaliatory measures, the full extent of the future impact of these and other threatened measures remains uncertain. We continue to monitor these tariffs and retaliatory measures and their possible effects on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Legacy Kalaris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Kalaris Tx, Inc. (formerly, Kalaris Therapeutics, Inc.), a Delaware corporation (“Legacy Kalaris”) entered into a convertible note purchase agreement with Samsara BioCapital L.P. (“Samsara”) to issue to Samsara and other investors who subsequently joined the agreement up to $25.0 million of convertible promissory notes with a maturity date of May 31, 2025 (the “Convertible Note Financing”). In October and November 2024, Legacy Kalaris received $10.0 million from the initial closings of the Convertible Note Financing. Under the Merger Agreement (as defined below), Legacy Kalaris was permitted to issue additional convertible promissory notes pursuant to the Convertible Note Financing or otherwise to fund its operations prior to the closing of the Merger (as defined below) in an amount not to exceed $15.0 million in the aggregate on a to be converted post-money basis, with up to $7.5 million to be provided by AlloVir and up to $7.5 million to be provided by existing Legacy Kalaris stockholders (the “Additional Permitted Bridge Financing”). In January 2025, as part of the first tranche of the Additional Permitted Bridge Financing, Legacy Kalaris issued a convertible promissory note in an aggregate principal amount of up to $7.5 million to AlloVir (the “AlloVir Note”) under which AlloVir funded a principal amount of $3.75 million, and Legacy Kalaris issued convertible promissory notes in an aggregate principal amount of $3.75 million to existing Legacy Kalaris stockholders. No additional tranches of the convertible notes financing closed prior to the closing of the Merger. Immediately prior to the closing of the Merger, Legacy Kalaris’ outstanding convertible promissory notes held by its existing stockholders were converted into shares of Legacy Kalaris’ common stock or shares of Legacy Kalaris’ Series B-2 redeemable convertible preferred stock (“Series B-2 Preferred Stock”) that were then converted into shares of Legacy Kalaris’ common stock, which, at the effective time of the Merger, were converted into the right to receive shares of AlloVir’s common stock calculated in accordance with the Exchange Ratio (as defined below). Immediately prior to the closing of the Merger, Legacy Kalaris’ outstanding convertible promissory note issued to AlloVir was cancelled.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Merger with AlloVir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18, 2025 (the “Closing Date”), AlloVir consummated the previously announced merger (the “Merger”) pursuant to the terms of the Agreement and Plan of Merger, dated as of November 7, 2024 (the “Merger Agreement”), by and among AlloVir, Aurora Merger Sub, Inc., a Delaware corporation and wholly-owned subsidiary of AlloVir (“Merger Sub”), and Legacy Kalaris.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Merger, at the effective time of the Merger (the “Effective Time”), Merger Sub merged with and into Legacy Kalaris, with Legacy Kalaris continuing as a wholly-owned subsidiary of AlloVir and the surviving corporation of the Merger and, after giving effect to the Merger, Legacy Kalaris became a wholly-owned subsidiary of AlloVir, and immediately following the Effective Time, AlloVir changed its name to “Kalaris Therapeutics, Inc.” At the Effective Time, our business became primarily the business conducted by Legacy Kalaris.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and conditions of the Merger Agreement, at the Effective Time, all issued and outstanding shares of Legacy Kalaris’ common stock (including common stock issued upon conversion of Legacy Kalaris’ preferred stock and outstanding convertible promissory notes) converted into the right to receive 0.2016 shares of AlloVir’s common stock calculated in accordance with an exchange ratio equal to 1:0.2016 (the “Exchange Ratio”). Each award of restricted shares of Legacy Kalaris’ common stock that was unvested and outstanding was converted into and exchanged for the right to receive a number of restricted shares of AlloVir common stock based on the Exchange Ratio. Each outstanding option to purchase shares of Legacy Kalaris’ common stock under Legacy Kalaris’ 2019 Equity Incentive Plan, whether or not vested, was converted into an option to acquire a number of shares of AlloVir’s common stock based on the Exchange Ratio. Exercise prices of assumed options were determined as the product of the exercise price immediately prior to the Effective Time multiplied by the reciprocal of the Exchange Ratio, and rounding up to the nearest whole cent. There were no changes to any other terms of such options or restricted share awards. Immediately following the Merger, stockholders of Legacy Kalaris owned approximately 74.47% of the outstanding common stock of the combined company on a fully diluted basis. The Merger was accounted for as a reverse recapitalization in accordance with accounting principles generally accepted in the United States (“GAAP”). Under this method of accounting, Legacy Kalaris was deemed to be the accounting acquirer for financial reporting purposes. Accordingly, for accounting purposes, the Merger was treated as the equivalent of Legacy Kalaris issuing stock to acquire the net assets of AlloVir. As a result of the Merger, the net assets of AlloVir were recorded at their carrying value and our financial statements are consolidated after the Effective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2025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2025, we entered into a securities purchase agreement (the “2025 Securities Purchase Agreement”) with certain institutional investors named therein, pursuant to which, we issued and sold in a private placement (the “2025 Private Placement”), an aggregate of (i) 4,200,000 shares of our common stock at a purchase price of $10.00 per share, and (ii) pre-funded warrants (“Pre-Funded Warrants”) to purchase up to an aggregate of 800,000 shares of our common stock at a purchase price of $9.9999 per Pre-Funded Warrant, which represents the per share purchase price of our common stock less the $0.0001 per share exercise price for each Pre-Funded Warrant. The Pre-Funded Warrants were exercisable at any time after the date of issuance and all of the Pre-Funded Warrants were exercised in full on April 13, 2026. In connection with the closing of the 2025 Private Placement, we received aggregate gross proceeds from the 2025 Private Placement of $50.0 million, before deducting placement agent fees and offering expenses.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 2026, we filed a shelf registration statement on Form S-3 with the Securities and Exchange Commission (the “SEC”), which was declared effective on April 13, 2026 (the “Shelf Registration Statement”). Under the Shelf Registration Statement, we may offer and sell up to $350.0 million of a variety of securities including common stock, preferred stock, debt securities, subscription rights, warrants or units during the three-year period that commenced upon the Shelf Registration Statement becoming effective. In connection with the filing of the Shelf Registration, we entered into a Common Stock Sales Agreement (the “Sales Agreement”) with TD Securities (USA) LLC (“TD Cowen”), pursuant to which we may issue and sell, from time to time, up to an aggregate of $100.0 million of our common stock in an at-the-market equity offering through TD Cowen, as sales agent (the “At-the-Market Offering”). TD Cowen is entitled to receive compensation equal to up to 3.0% of the gross sales price of the shares of common stock sold pursuant to the Sales Agreement. As of June 30, 2026, we had not sold any shares of common stock pursuant to the At-the-Market Offering. </w:t>
      </w:r>
    </w:p>
    <w:p>
      <w:pPr>
        <w:pStyle w:val="TextBody"/>
        <w:bidi w:val="0"/>
        <w:spacing w:before="360" w:after="283"/>
        <w:jc w:val="left"/>
        <w:rPr>
          <w:rFonts w:ascii="Times New Roman" w:hAnsi="Times New Roman"/>
          <w:sz w:val="20"/>
        </w:rPr>
      </w:pPr>
      <w:r>
        <w:rPr>
          <w:rFonts w:ascii="Times New Roman" w:hAnsi="Times New Roman"/>
          <w:b/>
          <w:color w:val="000000"/>
          <w:sz w:val="20"/>
        </w:rPr>
        <w:t>License Agreement with the University of California, San Diego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we entered into a license agreement with UCSD (as amended, the “UCSD Agreement”) pursuant to which we obtained (i) an exclusive license under the patent rights to make, use, sell, offer for sale, and import licensed products and (ii) a non-exclusive license to use the technology with a right to sublicense, each (i) and (ii) related to new anti-VEGF agents and novel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long-acting VEGF inhibitors for intraocular neovascularization for the treatment of patients with retinal pathologies. As partial consideration for the license, we agreed to pay UCSD $0.2 million and were obligated to issue shares of our common stock to UCSD equal to 5% of our fully diluted issued and outstanding securities until such time as an aggregate of $5.0 million in gross proceeds from the sale of equity securities had been raised by us. In June 2022, after the closing of the Series A financing, we issued 137,234 shares of our common stock to UCSD. We were also obligated to pay $0.1 million of patent costs incurred prior to the effective date and are required to reimburse future patent expenses incurred by UCSD during the term of the UCSD Agreement. Under the UCSD Agreement, we are required to make annual license maintenance payments of $10,000 during the first four anniversaries and $15,000 on the fifth and every subsequent anniversary of the effective date. We are obligated to pay an aggregate of up to $4.6 million upon the achievement of various development and regulatory milestones and low single-digit royalties on net sales of licensed products. The royalty is payable, on a licensed product-by-licensed product and country-by country basis, until expiration of the last-to-expire issued patent of the applicable licensed product in the country of sale or the manufacture. If we enter into a sublicensing agreement, we are required to pay UCSD a sublicense fee as a percentage of the fair market value of any sublicense fee received that is not earned royalties for each sublicense granted. The sublicense fee percentage ranges from 50% if the applicable sublicense agreement is entered into within one year from the UCSD Agreement effective date and decreases to 10% if the applicable sublicense agreement is entered into after the first dosing of a patient for a phase 2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case of a closing of a merger, or sale of at least 50% of our voting stock or the sale by us of all or substantially all of our assets (collectively referred to as “Liquidity Event”), we are obligated to make a one-time cash milestone payment to UCSD ranging from $0.1 million to $1.0 million based on the valuation of our outstanding shares at the Liquidity Event closing date. The Merger did not meet the definition of the Liquidity Event.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UCSD Agreement is effective until the expiration date of the longest-lived patent rights or last to be abandoned patent or future patent of the licensed products, whichever is later. We can terminate the agreement upon 60 days written notice. UCSD can terminate the agreement in the event of an uncured material breach, such as a failure to make payments due, or to perform or a violation of any other material term of the UCSD Agreement, is not cured by us within 60 days after a breach written notice provided by UCSD.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acquisition of the license under the UCSD Agreement, including patent rights and know-how, was accounted for as an asset acquisition. As the acquired technology did not have an alternative future use, we recognized the $0.2 million initial cash consideration, $0.1 million patent reimbursement costs incurred prior to the effective date and $0.2 million related to the obligation to issue shares of our common stock as research and development expenses. The obligation to issue shares of common stock included two components, the initial shares obligation and the additional shares obligation. The fair value of the initial shares obligation was estimated as $0.1 million based on the fair value of 55,440 shares of common stock, which represented 5% of the outstanding fully diluted equity at the effective date. As the initial share obligation was indexed to our own stock, it was recorded as additional paid-in capital. The additional shares obligation was accounted for when the next round of financing closed in March 2022. We estimated the fair value of an additional 81,794 shares of common stock as $0.2 million and recognized it as research and development expenses and additional paid-in capital in March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reimbursement costs were immaterial for the three and six months ended June 30, 2026. We recognized an immaterial amount and $0.1 million in patent reimbursement costs for the three and six months ended June 30, 2025, respectively. We made a payment of $0.1 million in connection with our achievement of the first development milestone related to the dosing of the first patient in our Phase 1a clinical trial in August 2024. No other milestones were achieved or probable through June 30, 2026 and, therefore, for the three and six months ended June 30, 2026, no milestone expense was recognized.</w:t>
      </w:r>
    </w:p>
    <w:p>
      <w:pPr>
        <w:pStyle w:val="TextBody"/>
        <w:bidi w:val="0"/>
        <w:spacing w:before="360" w:after="283"/>
        <w:jc w:val="left"/>
        <w:rPr>
          <w:rFonts w:ascii="Times New Roman" w:hAnsi="Times New Roman"/>
          <w:sz w:val="20"/>
        </w:rPr>
      </w:pPr>
      <w:r>
        <w:rPr>
          <w:rFonts w:ascii="Times New Roman" w:hAnsi="Times New Roman"/>
          <w:b/>
          <w:i/>
          <w:color w:val="000000"/>
          <w:sz w:val="20"/>
        </w:rPr>
        <w:t>Royalty Agreement with Samsara – Related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we entered into a royalty agreement (the “Royalty Agreement”) with Samsara. Under the Royalty Agreement, we redeemed 10,080 shares of our common stock issued to Samsara under a founder’s restricted stock purchase agreement in exchange for our agreement to pay Samsara a low single digit percentage tiered royalty on net sales, if any, of our products developed using the technology licensed under the UCSD Agreement. Such royalties are payable on a product-by-product and country-by-country basis until the later of (i) ten years after the first commercial sale of such product in such country and (ii) the expiration of the last-to-expire issued claim of our patents for such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identified two elements in the Royalty Agreement: repurchased shares, and future royalty payments to Samsara. The repurchase of shares was accounted at an estimated fair value of $32,000 as a reduction of common stock and additional paid-in-capital in the consolidated balance sheet and the consolidated statement of redeemable convertible preferred stock and shareholders’ deficit. We recorded $32.1 million as a long-term liability related to the obligation to make royalty payments to Samsara. The fair value of the royalty obligation was estimated using a risk-adjusted net present value model, based on the contractual royalty rates applied to the future net sales forecast, adjusted by the probability of success of product development and discounted to the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of the Royalty Agreement. The excess of the royalty liability over the fair value of the redeemed shares of $32.0 million was recorded as a research and development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royalty payments to Samsara are deemed probable and estimable, and if such amounts exceed the initially recorded royalty obligation balance, we will impute interest to accrete the liability on a prospective basis based on such estimates. If and when we make royalty payments under the Royalty Agreement, the royalty obligation balance will be reduced. As of June 30, 2026, royalty payments were not probable and estimable and, therefore, for the three and six months ended June 30, 2026, no interest expense was recognized for the royalty liability.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expenses and general and administrative expenses.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largest component of our total operating expenses since inception has been research and development activities, including preclinical development of our product candidate. Research and development costs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research and development costs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acquiring technology and intellectual property licenses that have no alternative future uses, milestone payments and annual license maintenance fees under its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under agreements with third-party CDMOs, CROs and other third parties that conduct preclinical and clinical activities on our behalf and manufacture our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fees associated with our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costs associated with our research and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research and development costs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costs, including salaries, benefits, travel and meals expenses, and stock-based compensation expense for our research and development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overhead costs, including software and other miscellaneous expenses incurred in connection with our research and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for certain development activities are recognized based on our management’s evaluation of the progress to completion of specific tasks using information and data provided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 Research and development expenses incurred from inception relate to the development of our lead product candidate, TH103.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for the foreseeable future as we advance our product candidate through clinical trials, pursue regulatory approval of our product candidate and expand the indications for our product candidate. The process of conducting the necessary preclinical and clinical research to obtain regulatory approval is costly and time-consuming. The actual probability of success for our product candidate may be affected by a variety of factors, including the timing and progress of clinical development activities, our ability to successfully complete clinical trials with safety, potency and purity profiles that are satisfactory to the FDA or any comparable foreign regulatory authority, our ability to successfully develop, obtain regulatory approval for, and then successfully commercialize, our product candidate; our ability to establish and maintain agreements with third-party manufacturers for clinical supply for our clinical trials and commercial manufacturing, if our product candidate is approved; the terms and timing of any collaboration, license or other arrangement, including the terms and timing of any milestone payments thereunder; our ability to obtain and maintain patent, trade secret and other intellectual property protection and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commercialize products, if and when approved, whether alone or in collaboration with others. We may never receive regulatory approval for our product candidate. As a result of the uncertainties discussed above, our management is unable to determine the duration and completion costs of our research and development activities or if, when and to what extent we will generate revenue from the commercialization and sale of our product candidate, if approved.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payroll and personnel-related expenses, including salaries, bonuses, employee benefit costs and stock-based compensation expense. General and administrative expenses also include rent expense, insurance, professional fees for legal, consulting, accounting and tax services, as well as allocated overheads, including information technology costs, and other general operating expenses not otherwise classified as research and development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as a result of increased personnel costs, including salaries, benefits and stock-based compensation expense. We also expect to continue to incur significant expenses associated with being a public company, including personnel costs, expanded infrastructure and higher consulting, legal and accounting services, investor relations costs and director and officer insurance premiums.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tranche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tranche liability represents gains or losses from the remeasurement of tranche liability related to the investors’ rights to receive additional convertible promissory notes in subsequent tranches of the Convertible Note Financing with a predetermined conversion price. The tranche liability was remeasured at fair value at the end of each reporting period until the tranche liability was cancelled in March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derivative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derivative liabilities represents gains or losses from the remeasurement of the derivative liabilities embedded in the convertible promissory notes issued to Samsara and other investors at the end of each reporting period until settlement or extinguishment. The derivative liabilities expired in connection with the closing of the Merger on the Closing Date.</w:t>
      </w:r>
    </w:p>
    <w:p>
      <w:pPr>
        <w:pStyle w:val="TextBody"/>
        <w:bidi w:val="0"/>
        <w:spacing w:before="36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represents non-cash interest expense accrued on issued and previously outstanding convertible promissory notes and amortization of a debt discount on the advances under the convertible promissory note issued to Samsara in March 2024. </w:t>
      </w:r>
    </w:p>
    <w:p>
      <w:pPr>
        <w:pStyle w:val="TextBody"/>
        <w:bidi w:val="0"/>
        <w:spacing w:before="360" w:after="283"/>
        <w:jc w:val="left"/>
        <w:rPr>
          <w:rFonts w:ascii="Times New Roman" w:hAnsi="Times New Roman"/>
          <w:sz w:val="20"/>
        </w:rPr>
      </w:pPr>
      <w:r>
        <w:rPr>
          <w:rFonts w:ascii="Times New Roman" w:hAnsi="Times New Roman"/>
          <w:i/>
          <w:color w:val="000000"/>
          <w:sz w:val="20"/>
        </w:rPr>
        <w:t>Loss on extinguishment and on issuance</w:t>
      </w:r>
      <w:r>
        <w:rPr>
          <w:rFonts w:ascii="Times New Roman" w:hAnsi="Times New Roman"/>
          <w:color w:val="000000"/>
          <w:sz w:val="20"/>
        </w:rPr>
        <w:t xml:space="preserve"> </w:t>
      </w:r>
      <w:r>
        <w:rPr>
          <w:rFonts w:ascii="Times New Roman" w:hAnsi="Times New Roman"/>
          <w:i/>
          <w:color w:val="000000"/>
          <w:sz w:val="20"/>
        </w:rPr>
        <w:t>of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issuance of convertible promissory notes represents the excess fair value of the convertible promissory over the cash proceeds received on the date of issuance. Loss on extinguishment of convertible promissory notes represents the excess fair value of redeemable convertible preferred stock issued over the net carrying value of the convertible promissory notes at the extinguishment date. All outstanding convertible promissory notes, other than the AlloVir Note, were converted into shares of redeemable convertible preferred stock or common stock of Legacy Kalaris immediately prior to the closing of the Merger on March 18, 2025.</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includes interest income received from money market funds, U.S. government treasury securities, and bank deposits, the amortization of premiums and accretion of discounts on U.S. government treasury securities, and realized and unrealized foreign currency gains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left"/>
        <w:rPr/>
      </w:pPr>
      <w:r>
        <w:rPr/>
        <w:t> </w:t>
      </w:r>
    </w:p>
    <w:tbl>
      <w:tblPr>
        <w:tblW w:w="6528"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481"/>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 thousands):</w:t>
      </w:r>
    </w:p>
    <w:p>
      <w:pPr>
        <w:pStyle w:val="TextBody"/>
        <w:bidi w:val="0"/>
        <w:spacing w:before="120" w:after="283"/>
        <w:jc w:val="left"/>
        <w:rPr/>
      </w:pPr>
      <w:r>
        <w:rPr/>
        <w:t> </w:t>
      </w:r>
    </w:p>
    <w:tbl>
      <w:tblPr>
        <w:tblW w:w="9323" w:type="dxa"/>
        <w:jc w:val="left"/>
        <w:tblInd w:w="0" w:type="dxa"/>
        <w:tblLayout w:type="fixed"/>
        <w:tblCellMar>
          <w:top w:w="28" w:type="dxa"/>
          <w:left w:w="28" w:type="dxa"/>
          <w:bottom w:w="28" w:type="dxa"/>
          <w:right w:w="28" w:type="dxa"/>
        </w:tblCellMar>
      </w:tblPr>
      <w:tblGrid>
        <w:gridCol w:w="5946"/>
        <w:gridCol w:w="146"/>
        <w:gridCol w:w="211"/>
        <w:gridCol w:w="571"/>
        <w:gridCol w:w="146"/>
        <w:gridCol w:w="146"/>
        <w:gridCol w:w="211"/>
        <w:gridCol w:w="571"/>
        <w:gridCol w:w="146"/>
        <w:gridCol w:w="146"/>
        <w:gridCol w:w="211"/>
        <w:gridCol w:w="481"/>
        <w:gridCol w:w="391"/>
      </w:tblGrid>
      <w:tr>
        <w:trPr/>
        <w:tc>
          <w:tcPr>
            <w:tcW w:w="5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CDMO, CRO and other third-party clinical trials and consulting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research and development personnel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$0.6 million, from $8.4 million for the three months ended June 30, 2025, to $9.0 million for the three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CDMO, CRO and other third-party clinical trials and consulting costs increased by $0.5 million. This was primarily driven by an increase of $1.5 million in CRO and other clinical expenses as we opened additional investigational sites and enrolled patients in our clinical program, offset by a decrease of $1.0 million in CDMO manufacturing and process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 related costs (including stock-based compensation) increased by $0.3 million due to hiring in our research and development organization to support our clinical trials and manufacturing.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$0.4 million from $3.8 million for the three months ended June 30, 2025 to $3.4 million for the three months ended June 30, 2026. The decrease in general and administrative expenses was primarily attributable to a decrease of $0.3 million in legal, accounting and other professional fees.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was $0.9 million for each of the three months ended June 30, 2026 and 2025 primarily consisted of interest income received from money market funds and U.S. government treasury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88"/>
        <w:gridCol w:w="146"/>
        <w:gridCol w:w="211"/>
        <w:gridCol w:w="736"/>
        <w:gridCol w:w="166"/>
        <w:gridCol w:w="146"/>
        <w:gridCol w:w="211"/>
        <w:gridCol w:w="736"/>
        <w:gridCol w:w="166"/>
        <w:gridCol w:w="146"/>
        <w:gridCol w:w="211"/>
        <w:gridCol w:w="631"/>
        <w:gridCol w:w="611"/>
      </w:tblGrid>
      <w:tr>
        <w:trPr/>
        <w:tc>
          <w:tcPr>
            <w:tcW w:w="6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tranche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and on issuance of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 thousands):</w:t>
      </w:r>
    </w:p>
    <w:p>
      <w:pPr>
        <w:pStyle w:val="TextBody"/>
        <w:bidi w:val="0"/>
        <w:jc w:val="left"/>
        <w:rPr/>
      </w:pPr>
      <w:r>
        <w:rPr/>
        <w:t> </w:t>
      </w:r>
    </w:p>
    <w:tbl>
      <w:tblPr>
        <w:tblW w:w="9623" w:type="dxa"/>
        <w:jc w:val="left"/>
        <w:tblInd w:w="0" w:type="dxa"/>
        <w:tblLayout w:type="fixed"/>
        <w:tblCellMar>
          <w:top w:w="28" w:type="dxa"/>
          <w:left w:w="28" w:type="dxa"/>
          <w:bottom w:w="28" w:type="dxa"/>
          <w:right w:w="28" w:type="dxa"/>
        </w:tblCellMar>
      </w:tblPr>
      <w:tblGrid>
        <w:gridCol w:w="5946"/>
        <w:gridCol w:w="146"/>
        <w:gridCol w:w="211"/>
        <w:gridCol w:w="676"/>
        <w:gridCol w:w="146"/>
        <w:gridCol w:w="146"/>
        <w:gridCol w:w="211"/>
        <w:gridCol w:w="676"/>
        <w:gridCol w:w="146"/>
        <w:gridCol w:w="146"/>
        <w:gridCol w:w="211"/>
        <w:gridCol w:w="571"/>
        <w:gridCol w:w="391"/>
      </w:tblGrid>
      <w:tr>
        <w:trPr/>
        <w:tc>
          <w:tcPr>
            <w:tcW w:w="5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CDMO, CRO and other third-party clinical trials and consulting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research and development personnel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$2.1 million, from $14.5 million for the six months ended June 30, 2025, to $16.6 million for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CDMO, CRO and other third-party clinical trials and consulting costs increased by $1.9 million. This was primarily driven by an increase of $3.3 million in CRO and other clinical expenses as we opened additional investigational sites and enrolled patients in our clinical program, offset by a decrease of $ 1.5 million in CDMO manufacturing and process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 related costs (including stock-based compensation) increased by $0.5 million due to hiring in our research and development organization to support our clinical trials and manufacturing.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$0.5 million, from $8.1 million for the six months ended June 30, 2025 to $7.6 million for the six months ended June 30, 2026. The decrease in general and administrative expenses was primarily attributable to a decrease of $1.3 million in directors’ and officers’ insurance due to a $1.5 million charge for directors' and officers' insurance for AlloVir, Inc. (“AlloVir”) following the closing of the Merger offset by an increase of $1.0 million in personnel related expenses (including stock-based compensation) to support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i/>
          <w:color w:val="000000"/>
          <w:sz w:val="20"/>
        </w:rPr>
        <w:t>Change in fair value of tranche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2025, we recognized a $0.4 million gain related to the changes in the fair value of tranche liability. The convertible promissory notes issued in the Convertible Note Financing in October and November 2024 and amended in November 2024 included three subsequent tranches for the issuance of convertible promissory notes at the predetermined conversion price that were concluded to be liabilities and are accounted for at fair value until the tranches’ expiration or settlement. In January 2025, as part of the first tranche of the Additional Permitted Bridge Financing, we issued additional convertible promissory notes for $3.75 million and one of three tranches was settled. In March 2025, we and other noteholders entered into an acknowledgment of conversion and termination agreement to cancel all unfunded tranches and the tranche liability expired unexercised.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derivative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we recognized a $1.2 million gain related to the changes in the fair value of derivative liabilities embedded into convertible promissory notes issued to Samsara and other investors. All outstanding convertible promissory notes, other than the AlloVir Note, were converted into either shares of redeemable convertible preferred stock or common stock and the derivative liability expired in connection with the closing of the Merger on March 18,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we recognized $1.4 million of interest expense, which included the accrued interest and amortization of debt discount related to issued and outstanding convertible promissory notes issued to Samsara and other investors. All outstanding convertible promissory notes, other than the AlloVir Note, were converted into either shares of redeemable convertible preferred stock or common stock and the derivative liability expired in connection with the closing of the Merger on March 18,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Loss on extinguishment and on issuance of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we recognized $0.2 million of loss on extinguishment and on issuance of convertible promissory notes to Samsara and other investors. All outstanding convertible promissory notes, other than the AlloVir Note, were converted into either shares of redeemable convertible preferred stock or common stock and the derivative liability expired in connection with the closing of the Merger on March 18, 2025.</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increased by $0.7 million from $1.1 million for the six months ended June 30, 2025 to $1.9 million for the six months ended June 30, 2026. This increase was primarily attributable to interest income received from money market funds and U.S. government treasury securities as a result of our increased cash position following the Merger and the 2025 Private Placement.</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and negative cash flows from our operations. From inception, we have primarily funded our operations from sales of redeemable convertible preferred stock, issuances of convertible promissory notes and a SAFE, from cash and cash equivalents of AlloVir received in the Merger, and from proceeds from the 2025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inception through June 30, 2026, we have received gross proceeds of $67.5 million from sales of redeemable convertible preferred stock, issuances of convertible promissory notes and a SAFE, we received cash and cash equivalents of AlloVir of approximately $102.1 million in the Merger, and we received aggregate gross proceeds of $50.0 million from the 2025 Private Placement. As of June 30, 2026, we had $93.5 million in cash, cash equivalents and marketable securities.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April 3, 2026, we filed the Shelf Registration Statement with the SEC, which was declared effective on April 13, 2026. Under the Shelf Registration Statement, we may offer and sell up to $350.0 million of a variety of securities including common stock, preferred stock, debt securities, subscription rights, warrants or units during the three-year period that commenced upon the Shelf Registration Statement becoming effective. Pursuant to the Sales Agreement with TD Cowen which we may issue and sell, from time to time, up to an aggregate of $100.0 million of our common stock in the At-the-Market Offering through TD Cowen, as sales agent. As of June 30, 2026, we had capitalized $0.5 million of deferred transaction costs related to the At-the-Market Offering. We have not sold any shares of our common stock pursuant to the At-the-Market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uses of cash are to fund our operations, which consist primarily of research and development expenditures related to the development of our lead product candidate, TH103, and, to a lesser extent, general and administrative expenditures. We expect to continue to incur significant and increasing expenses for the foreseeable future as we continue to advance TH103, expand our corporate infrastructure, further our research and development initiatives and incur costs associated with the potential commercialization activities. Conducting preclinical testing and clinical trials is a time consuming, expensive and uncertain process that takes years to complete, and we may never generate the necessary data or results required to obtain marketing approval and achieve product sales. In addition, TH103, if approved, may not achieve commercial success. Our commercial revenues, if any, will be derived from sales of a product that we do not expect to be commercially available for several years, if ever. Accordingly, we will need to obtain substantial additional funds to achieve our business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As of June 30, 2026, we had an accumulated deficit of $182.4 million. Based on our current operating plans, we believe that our existing cash, cash equivalents and marketable securities will be sufficient to fund our operating expenses and capital expenditure requirements into the fourth quarter of 2027. However, we have based these estimates on assumptions that may prove to be wrong, and our operating plans may change as a result of many factors currently unknown to us. In addition, changing circumstances could cause us to consume capital significantly faster than we currently anticipate, and we may need to spend more than currently expected because of circumstances beyond our control. As a result, we could deplete our capital resources sooner than we currently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forecast of cash resources and planned operations involves risks and uncertainties, and the actual amount of expenses could vary materially as a result of a number of factors. Because of the numerous risks and uncertainties associated with product development, and because the extent to which we may enter into collaborations with third parties for the development of TH103 is unknown, we may incorrectly estimate the timing and amounts of increased capital outlays and operating expenses associated with completing the research and development of TH103. Our future funding requirements will depend on many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scope, progress and results of our preclinical studies and clinical trials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scope and duration of clinical trials required for regulatory approval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seeking and obtaining regulatory approvals from the FDA and comparable foreign regulatory authorities for our product candidates, including any requirement to conduct more studies or generate additional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clinical and commercial supplies, as well as scale-up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increase in the number of our employees and the acquisition and expansion of physical facilities to support growth initiatives;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filing and prosecuting our patent applications, and maintaining and enforcing our patents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defending intellectual property disputes, including patent infringement actions brought by third parties against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 if any, received from commercial sales of TH103 or any future product candidates, should any product candidates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implementation of various computerized informational systems and efforts to enhance operational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inflation, tariffs and other trade restrictions, as well as other factors, including economic uncertainty and geopolitical tensions, which may exacerbate the magnitude of the factors discussed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product sales, if ever, we expect to finance our operations through a combination of public or private equity offerings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we may have to grant licenses on terms that may not be favorable to us. If we are unable to raise capital as and when needed or on attractive terms, or at all, we may have to significantly delay, reduce or discontinue the development or future commercialization of TH103 or any future product candidate.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primary sources and uses of cash for the periods presented (in thousands): </w:t>
      </w:r>
    </w:p>
    <w:p>
      <w:pPr>
        <w:pStyle w:val="TextBody"/>
        <w:bidi w:val="0"/>
        <w:jc w:val="left"/>
        <w:rPr/>
      </w:pPr>
      <w:r>
        <w:rPr/>
        <w:t> </w:t>
      </w:r>
    </w:p>
    <w:tbl>
      <w:tblPr>
        <w:tblW w:w="8474" w:type="dxa"/>
        <w:jc w:val="left"/>
        <w:tblInd w:w="0" w:type="dxa"/>
        <w:tblLayout w:type="fixed"/>
        <w:tblCellMar>
          <w:top w:w="28" w:type="dxa"/>
          <w:left w:w="28" w:type="dxa"/>
          <w:bottom w:w="28" w:type="dxa"/>
          <w:right w:w="28" w:type="dxa"/>
        </w:tblCellMar>
      </w:tblPr>
      <w:tblGrid>
        <w:gridCol w:w="5866"/>
        <w:gridCol w:w="146"/>
        <w:gridCol w:w="211"/>
        <w:gridCol w:w="736"/>
        <w:gridCol w:w="166"/>
        <w:gridCol w:w="146"/>
        <w:gridCol w:w="211"/>
        <w:gridCol w:w="781"/>
        <w:gridCol w:w="2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$22.6 million and $20.0 million for the six months ended June 30,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2026, was primarily due to a net loss of $22.4 million, offset by non-cash charges of $1.0 million and further offset by net changes in net operating assets and liabilities of $1.3 million. Non-cash charges primarily consist of $1.2 million in stock-based compensation expense offset by $0.3 million in accretion of discounts on marketable securities. The unfavorable net change in net operating assets and liabilities was primarily due to an increase in prepaid expenses and other current assets of $1.0 million and an increase in other non-current assets of $0.8 million, offset by an increase in accrued expenses and other current liabilities of $0.9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2025, was primarily due to a net loss of $21.5 million, reduced by non-cash charges of $1.0 million and further reduced by net changes of $0.6 million in the net operating assets and liabilities. Non-cash changes primarily consist of a $1.0 million stock-based compensation expense, a gain of $1.2 million related to the change in fair value of derivative liabilities, a gain of $0.4 million related to the change in fair value of tranche liability, non-cash interest expense of $1.4 million and loss on issuance of convertible promissory notes of $0.2 million. The change in net operating assets and liabilities was primarily due to an increase in prepaid expenses and other current assets of $0.6 million, an increase in other non-current assets of $0.3 million, an increase in accounts payable of $2.2 million, and a decrease in accrued expenses and other current liabilities of $0.8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$30.2 million, which primarily consisted of $70.2 million in purchases of marketable securities offset by $40.0 million in proceeds from maturities of marketable securities. There was no cash used in investing activities for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for the six months ended June 30, 2026 was $2.1 million, which consisted of $2.2 million in payments of issuance costs related to the 2025 Private Placement and deferred transaction costs related to the At-the-Market Offering, offset by $0.1 million in proceeds from the exercise of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2025 was $107.3 million, which consisted of $102.1 million of cash and cash equivalents of AlloVir received in the Merger, proceeds from the issuance of a convertible promissory note of $7.5 million, partially offset by payments of transaction costs related to the Merger of $2.3 million.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and Other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contracts in the normal course of business with CDMOs for clinical supply manufacturing, with CROs for clinical trials and with other vendors for clinical studies, supplies and other products and services for operating purposes. These agreements generally provide for termination at the request of either party generally with less than one-year notice and, therefore, our management believes that non-cancellable obligations under these agreements are not material. We do not currently expect any of these agreements to be terminated and did not have any non-cancellable obligations under these agreements as of June 30, 2026 and December 31,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required to pay certain milestone payments contingent upon the achievement of specific development and regulatory events in accordance with the UCSD Agreement. Refer to Note 7, </w:t>
      </w:r>
      <w:r>
        <w:rPr>
          <w:rFonts w:ascii="Times New Roman" w:hAnsi="Times New Roman"/>
          <w:i/>
          <w:color w:val="000000"/>
          <w:sz w:val="20"/>
        </w:rPr>
        <w:t>Significant Agreements,</w:t>
      </w:r>
      <w:r>
        <w:rPr>
          <w:rFonts w:ascii="Times New Roman" w:hAnsi="Times New Roman"/>
          <w:color w:val="000000"/>
          <w:sz w:val="20"/>
        </w:rPr>
        <w:t xml:space="preserve"> in our condensed consolidated financial statements included elsewhere in this Quarterly Report for additional details. As of June 30, 2026 and December 31, 2025, we recognized an immaterial amount related to the UCSD Agreement in accrued expenses and other current liabilities in the condensed consolidated balance sheets. Over the life of the agreement through June 30, 2026, development milestones totaling $0.1 million have been achieved and incurred as research and development expenses. We did not achieve any development milestones and did not incur any related milestone expense during the three and six months ended June 30, 2026. We are required to pay royalties on sales of products developed under the UCSD Agreement. Our product candidate was in development as of June 30, 2026 and December 31, 2025, and no such royalties were due.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obligated to pay royalties to Samsara under the Royalty Agreement. Refer to Note 7, </w:t>
      </w:r>
      <w:r>
        <w:rPr>
          <w:rFonts w:ascii="Times New Roman" w:hAnsi="Times New Roman"/>
          <w:i/>
          <w:color w:val="000000"/>
          <w:sz w:val="20"/>
        </w:rPr>
        <w:t>Significant Agreements,</w:t>
      </w:r>
      <w:r>
        <w:rPr>
          <w:rFonts w:ascii="Times New Roman" w:hAnsi="Times New Roman"/>
          <w:color w:val="000000"/>
          <w:sz w:val="20"/>
        </w:rPr>
        <w:t xml:space="preserve"> in our condensed consolidated financial statements included elsewhere in this Quarterly Report for additional details. We recognized an initial royalty liability in the amount of $32.1 million, which was based on its estimated fair value at the effective date of the Royalty Agreement. Once royalty payments to Samsara are deemed probable and estimable, and if such amounts exceed the royalty liability balance, we will impute interest to accrete the royalty liability on a prospective basis based on such estimates. As of June 30, 2026 these royalties were not probable and estimable.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2025, we entered into an operating lease agreement for office space in Berkeley Heights, New Jersey. The lease commenced in September 2025 and is expected to terminate in December 2031. We can extend the lease term twice for an additional three years and can terminate the lease after four years and four months after the lease commencement date with a termination penalty of $0.3 million. Total remaining undiscounted payments under this lease are approximately $1.9 million. In addition to the base rent, we will pay our share of operating expenses and taxes. The lessor provided a tenant improvement allowance of up to $0.4 million, which we fully utilized in 2025.</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the financial position, results of operations or cash flows is disclosed in Note 2 to our condensed consolidated financial statements included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financial statements, which have been prepared in accordance with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management evaluates these estimates and judgments, including, but not limited to, those related to the accrual of research and development expenses, the fair value of royalty obligation, the fair value of convertible promissory notes, the fair value of tranche liability, the fair value of derivative liabilities, the fair value of common stock and preferred stock, and stock-based compensation. These estimates and assumptions are monitored and analyzed by management for changes in facts and circumstances, and material changes in these estimates and assumptions could occur in the future. Our management's estimates are based on our historical experience and on various other factors that management believes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our critical accounting estimates from those described in “Management’s Discussion and Analysis of Financial Conditions and Results of Operations” included in our Annual Report on Form 10-K for the fiscal year ended December 31, 2025, which was filed with the SEC on March 17,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3" w:name="item_3_quantitative_and_qualitative"/>
      <w:bookmarkEnd w:id="1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4" w:name="item_4_controls_and_procedures"/>
      <w:bookmarkEnd w:id="14"/>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(“CEO”) and Chief Financial Officer (“CFO”) (our principal executive officer and principal financial officer, respectively), evaluated the effectiveness of our disclosure controls and procedures as of June 30, 2026.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their evaluation, the CEO and the CFO have concluded that our disclosure controls and procedures were not effective as of June 30, 2026, because of the material weaknesses in our internal control over financial reporting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previously identified and reported material weaknesses in our internal control over financial reporting as of December 31, 2025 had not been fully remediated as of June 30, 2026. A material weakness is a deficiency, or a combination of deficiencies, in internal control over financial reporting such that there is a reasonable possibility that a material misstatement of the annual or interim financial statements would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fully maintain components of the Committee of Sponsoring Organizations of the Treadway Commission (“COSO”) framework, including elements of the control environment, risk assessment, monitoring activities, information and communication, and control activities components, relating to: (i) our commitment to attract, develop, and retain competent individuals; (ii) identifying, assessing, and communicating appropriate internal control objectives, (iii) identifying and analyzing risks to achieve these objectives; (iv) selecting, developing, and performing ongoing evaluations to ascertain whether the components of internal controls are present and functioning; (v) communicating accurate information internally and externally, including providing information pursuant to objectives, responsibilities, and functions of internal control; (vi) selecting and developing control activities that contribute to the mitigation of risks and support achievement of objectives and (vii) deploying control activities through policies that establish what is expected and procedures that put policies into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material weaknesses could result in a misstatement of substantially all of our accounts or disclosures that would result in a material misstatement of our annual or interim financial statements that would not be prevented or detected.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Remediation Efforts and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has taken actions to remediate the deficiencies in our internal controls over financial reporting, including implementing additional processes and controls designed to address the underlying causes of the above-mentioned material weaknesses.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Management’s internal control remediation efforts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completed the implementation of multiple financial systems, including a new company-wide enterprise resource planning (ERP) system, which provides additional systematic controls and segregation of duties for our business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recruited additional accounting personnel with appropriate experience, certification, education and training. For example, following the closing of the Merger, AlloVir’s former Controller serves as our Controller and AlloVir’s Chief Accounting Officer served as our Chief Accounting Officer until July 2026. In addition, in April 2025 and July 2026, we appointed two new members to the audit committee of our board of directors, one of which was also appointed as chair of the audit committee and deemed to be an audit committee financial expert. Additionally, in August 2025, we hired a Director of Accounting, and in July 2026, we hired a Chief Financial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assessed, and communicated appropriate internal control objectives to key stakeholders across the organization and implemented a risk assessment over financial reporting which is updated and reassessed on a periodic basis. We have also formalized the scoping of relevant processes, systems and third-party service organizations supporting our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engaged a third-party to assist us in performing walkthroughs of our in-scope processes and systems and developing process flowcharts and detailed risk and control matrices. We have made substantial progress on the design and implementation of policies, procedures and controls around key business reporting processes and general information technology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formalized our control environment using the criteria described in “Internal Control - Integrated Framework” (2013) issued by the COSO.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identified key reports and spreadsheets used in the execution of key controls and implemented manual procedures to validate the completeness and accuracy of these reports and spreadsheets.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performed a segregation of duties assessment to identify conflicting roles and responsibilities. Where applicable, we also evaluated the design of compensating controls intended to mitigate the conflicts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created and implemented standardized execution templates and checklists to support consistent control execution.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report on the progress of our material weaknesses remediation efforts to key stakeholders across our organization, including our Audit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we are not able to hire and retain key individuals or are unable to successfully design and implement required controls, the material weaknesses identified may not be remediated and we may be required to record additional adjustments to our financial statements in the future or otherwise not be able to produce timely or accurate financial statements. The material weaknesses will not be considered remediated until management completes the design and implementation of the measures described above, the controls operate for a sufficient period of time, and management has concluded, through testing, that these controls are effective. These remediation measures will be time-consuming and require financial and operational resources. Our failure to implement and maintain effective internal control over financial reporting could result in errors in our financial statements that may lead to a restatement of our financial statements or cause us to fail to meet our reporting obligations. </w:t>
      </w:r>
    </w:p>
    <w:p>
      <w:pPr>
        <w:pStyle w:val="TextBody"/>
        <w:bidi w:val="0"/>
        <w:spacing w:before="360" w:after="283"/>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discussed above under “Remediation Efforts and Plans”, there were no changes in our internal control over financial reporting during the three months ended June 30, 2026, that have materially affected, or are reasonably likely to materially affect, our internal control over financial reporting.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5" w:name="part_ii_other_information"/>
      <w:bookmarkEnd w:id="15"/>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b/>
          <w:i/>
          <w:color w:val="000000"/>
          <w:sz w:val="20"/>
        </w:rPr>
        <w:t>Litigation Related to the Merger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complaints were filed by purported AlloVir stockholders as individual actions against AlloVir and the members of its board of directors in the Supreme Court of the State of New York, New York County, captioned Keller v. AlloVir, Inc. et al., No. 650989/2025 (N.Y. Sup. Ct. Feb. 20, 2025), and Morgan v. AlloVir, Inc. et al., No. 650965/2025 (N.Y. Sup. Ct. Feb. 19, 2025) (the “Complaints”). The Complaints alleged that the proxy statement/prospectus describing the transaction between Legacy Kalaris and AlloVir misrepresented and/or omitted certain purportedly material information, and asserted claims for negligent misrepresentation and concealment and negligence under New York common law. The Complaints were voluntarily dismissed on April 23, 2026.</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Quarterly Report, including our financial statements and the related notes included in this Quarterly Report, before deciding to invest in our common stock. These risks, some of which have occurred and any of which may occur in the future, can have a material adverse effect on our business, prospects, operating results and financial condition. In such event, the trading price of our common stock could decline and you might lose all or part of your investment. The risks and uncertainties described below are not the only ones we face. Additional risks and uncertainties not presently known to us or that we presently deem less significant may also impair our business, prospects, operating results and financial condition. In addition,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our inception. We expect to continue to incur significant expenses and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operating losses. Our net losses were $22.4 million and $21.5 million for the six months ended June 30, 2026 and 2025, respectively. As of June 30, 2026, we had cash, cash equivalents and marketable securities of $93.5 million and an accumulated deficit of $182.4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any products approved for sale and have not generated any revenue from product sales or otherwise. To date, we have funded our operations primarily from sales of redeemable convertible preferred stock, issuances of convertible promissory notes and a SAFE, cash and cash equivalents of AlloVir received in the Merger and proceeds from sales of our common stock and pre-funded warrants in a private placement for aggregate gross proceeds of approximately $50.0 million in December 2025 (the “2025 Private Placement”). We have devoted substantially all of our resources to organizing and staffing, business planning, raising capital, acquiring our technology, establishing our intellectual property portfolio and performing research and development of our product candidate. We are in the early stages of development of our lead product candidate, TH103. We received investigational new drug (“IND”) clearance for TH103 for the treatment of patients with neovascular, or wet, age-related macular degeneration (“nAMD”), in June 2024 and, in August 2024, we treated the first patient in our Phase 1a open-label clinical trial to investigate the safety, tolerability, dose range and pharmacokinetic profile or intravitreal injection of TH103 in patients with nAMD. In December 2025, we announced positive initial data from our Phase 1a SAD trial of TH103, and in July 2026, we announced positive additional data from our Phase 1a SAD trial of TH103 in nAMD from expanded nAMD cohorts, which built on the positive initial data that we announced in December 2025. We are also conducting a Phase 1b/2 multiple ascending dose, dose-finding study intended to assess safety and efficacy in patients with nAMD receiving four initial monthly loading doses of TH103, which is intended to build upon our ongoing Phase 1a clinical trial and to inform the optimal dose and regimen for potential Phase 3 development. The Phase 1b/2 dose-finding trial is designed to evaluate multiple dose levels of TH103 in approximately 60 to 80 nAMD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and operating losses for the foreseeable future, including costs associated with operating as a public company.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ongoing Phase 1a and Phase 1b/2 clinical trials of TH103 in patients with nAMD;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progress the development of TH103 in future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any future product candidate that we may develop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and protect our intellectual property portfolio;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TH103 and any other product candidate that successfully completes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and maintain additional collaborations and license agreements, and the success of those collaborations and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any payments under our existing or future strategic collaboration agreements, licensing agreements or sponsored research agreements, including with the University of California, San Diego (“UCSD”);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establish a sales, marketing and distribution infrastructure to commercialize any product candidate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generate revenue from commercial sales of product candidates that may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regulatory, manufacturing, quality control, development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in-license or acquire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commercial manufacturing source and secure supply chain capacity sufficient to provide commercial quantities of any product candidates we may develop for which we obtain regulatory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planned future commercialization efforts and our operations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pharmaceutical product development, we are unable to accurately predict the timing or amount of increased expenses or when, or if, we will be able to achieve or maintain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expenses could increase beyond our expectations, if,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by regulatory authorities in the United States, Europe, or other jurisdictions to perform trials or studies in addition to, or different than, those that we currently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any delays in establishing appropriate manufacturing arrangements for or completing the development of TH103 or any other product candidate we may develop;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any third-party challenges to our intellectual property or we need to defend against any intellectual property-related claim.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marketing approval for and are successful in commercializing one or more product candidates, we expect to incur substantial additional product development and other expenditures to develop and market additional product candidates or to expand the approved indications of any marketed product. We may encounter unforeseen expenses, difficulties, complications, delays and other known or unknown factors that may adversely affect our business. The size of our future net losses will depend, in part, on the rate of future growth of our expenses and our ability to generate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generated revenue from product sales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initiated clinical development of our lead product candidate, TH103, in June 2024, and expect that it will be many years, if ever, before we have a product candidate ready for commercialization. To become and remain profitable, we must succeed in completing development of, obtaining marketing approval for and eventually commercializing, one or more products that generate significant revenue. The ability to achieve this success will require us to be effective in a range of challenging activities,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preclinical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marketing approval for these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marketing and selling any products for which we may obtain marketing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products for which we may obtain marketing approval as viable treatment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these activities and, even if we do, we may never generate revenues that are significant enough to achieve profitability. 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product development efforts, diversify our pipeline or even continue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are heavily dependent on the success of our lead product candidate, TH103, which will require significant clinical testing before we can seek marketing approval and potentially generate commercial sales. If TH103 does not receive marketing approval or is not successfully commercialized, or if there is significant delay in doing so, our business will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only recently initiated our first clinical trials, have no products that are approved for commercial sale and may never be able to develop marketable products. We expect that a substantial portion of our efforts and expenditures for the foreseeable future will be devoted to TH103. Our business currently depends heavily on the successful development, marketing approval and commercialization of TH103. We cannot be certain that TH103 will achieve success in ongoing or future clinical trials, receive marketing approval or be successfully commercialized.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were required to discontinue development of TH103, or if TH103 does not receive marketing approval for one or more of the indications we pursue, fails to achieve significant market acceptance, or fails to receive adequate reimbursement, we may be delayed by many years in our ability to achieve profitability, if ever, and may not be able to generate sufficient revenue to continue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substantial additional funding for our continuing operations. If we are unable to raise capital when needed or on acceptable terms,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devote substantial financial resources to our ongoing and planned activities, particularly as we conduct our ongoing clinical trials of TH103; prepare for future preclinical studies and clinical trials of TH103; prepare for, initiate and conduct preclinical studies and clinical trials of other product candidates we may develop; and potentially seek marketing approval for any of the product candidates we may develop. We expect our expenses to increase substantially over time in connection with our ongoing and planned activities, particularly as we advance our preclinical activities and our ongoing and planned clinical trials. In addition, if we obtain marketing approval for TH103 or any other product candidate we may develop, we expect to incur significant commercialization expenses related to product manufacturing, sales, marketing and distribution. Furthermore, we expect to incur additional costs associated with operating as a public company. Accordingly, we will need to obtain substantial additional funding in connection with our continuing operations. If we are unable to raise additional capital or obtain adequate funds when needed or on acceptable terms, we may be required to delay, limit, reduce or terminate our product development programs or any future commercialization efforts or grant rights to develop and market product candidates that we would otherwise prefer to develop and market ourselves. In addition, attempting to secure additional financing may divert the time and attention of our management from day-to-day activities and distract from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and results of our ongoing Phase 1a and Phase 1b/2 clinical trials of TH103 and future preclinical studies and clinical trials of TH103;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costs and results of preclinical and clinical development for any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scale up our manufacturing processes and capabilities to support clinical trials of TH103 and other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TH103 and other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changes in the regulatory environment and enforcement rules;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collaborations, licensing or other arrangements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payment of license fees and other costs of our technology license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sales, marketing and distribution, for TH103 and other product candidates we may develop for which we may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acceptance of any approved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revenue, if any, received from commercial sales of TH103 and any other product candidates we may develop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changes in pharmaceutical pricing and reimbursement infrastructure;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raw materials for use in production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and proprietary rights and defending any intellectual property-related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in-license or acquire additional technologies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$93.5 million. Based on our current operating plans, our management expects that our cash, cash equivalents and marketable securities as of June 30, 2026 will be sufficient to fund our operating expenses and capital expenditure requirements into the fourth quarter of 2027. However, we have based these estimates on assumptions that may prove to be wrong, and our operating plans may change as a result of many factors currently unknown to us. In addition, changing circumstances could cause us to consume capital significantly faster than we currently anticipate, and we may need to spend more than currently expected because of circumstances beyond our control. As a result, we could deplete our capital resources sooner than we currently expect. In addition, because the successful development of TH103 or other product candidates that we may pursue is highly uncertain, at this time we cannot reasonably estimate or know the nature, timing and costs of the efforts that will be necessary to complete the development of any product candidate. 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We will not generate commercial revenues unless and until we can achieve sales of products, which we do not anticipate for a number of years, if at all. Accordingly, we will need to obtain substantial additional financing to achieve our business objectives. Adequate additional financing may not be available to us on acceptable terms, or at all, and we may be impacted by the economic climate and market conditions. For example, market volatility resulting from general United States or global economic or market conditions, including related to any health epidemics, pandemics or other contagious outbreaks could also adversely impact our ability to access capital as and when needed. Alternatively, we may seek additional capital due to favorable market conditions or strategic considerations, even if we believe we have sufficient funds for our current or future operating plans.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significant revenues from product sales, we expect to finance our operations through a combination of public or private equity offerings or debt financings, or potentially other capital sources, such as collaboration or licensing arrangements with third parties or other strategic transactions.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stockholders’. Any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product candidates or grant licenses on terms that may not be favorable to us.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limited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Legacy Kalaris was incorporated and commenced operations in 2019. We are a clinical stage company with a limited operating history. Our operations to date have been limited to organizing and staffing, business planning, raising capital, acquiring our technology, establishing our intellectual property portfolio and performing research and development of our product candidate. Our prospects must be considered in light of the uncertainties, risks, expenses and difficulties frequently encountered by companies in their early-stages of operations. We have not yet demonstrated our ability to successfully develop any product candidate,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identified material weaknesses in our internal control over financial reporting and we may identify additional material weaknesses in the future or fail to maintain an effective system of internal control over financial reporting, which may result in material misstatements of our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identified material weaknesses in our internal control over financial reporting as of December 31, 2025 which remain unremediated as of June 30, 2026. A material weakness is a deficiency, or a combination of deficiencies, in internal control over financial reporting such that there is a reasonable possibility that a material misstatement of the annual or interim financial statements would not be prevented or detected on a timely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did not fully maintain components of the Committee of Sponsoring Organizations of the Treadway Commission framework, including elements of the control environment, risk assessment, monitoring activities, information and communication, and control activities components, relating to: (i) our commitment to attract, develop, and retain competent individuals; (ii) identifying, assessing, and communicating appropriate objectives, (iii) identifying and analyzing risks to achieve these objectives; (iv) selecting, developing, and performing ongoing evaluations to ascertain whether the components of internal controls are present and functioning; (v) communicating accurate information internally and externally, including providing information pursuant to objectives, responsibilities, and functions of internal control; (vi) selecting and developing control activities that contribute to the mitigation of risks and support achievement of objectives and (vii) deploying control activities through policies that establish what is expected and procedures that put policies into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material weaknesses could result in a misstatement of substantially all of our accounts or disclosures that would result in a material misstatement of our annual or interim financial statements that would not be prevented or detected. We have begun taking measures, and plan to continue to take measures, to remediate these material weaknesses. We recruited additional accounting personnel with appropriate experience, certification, education and training. For example, following the closing of the Merger, AlloVir’s former Controller serves as our Controller and AlloVir’s Chief Accounting Officer served as our Chief Accounting Officer until July 2026. In addition, in April 2025 and July 2026, we appointed two new members to the audit committee of our board of directors, one of which was also appointed as chair of the audit committee and deemed to be an audit committee financial expert. Additionally, in August 2025, we hired a Director of Accounting, and in July 2026, we hired our Chief Financial Officer. We are in the process of implementing additional measures and risk assessment procedures designed to improve our disclosure controls and procedures and internal control over financial reporting to address the underlying causes of these material weaknesses, including the implementation of appropriate segregation of duties, formalization of accounting policies and controls, and implementation of accounting systems to automate manual processes. We have engaged financial consultants to assist with the implementation of internal controls over financial reporting. To the extent that we are not able to hire and retain such individuals or are unable to successfully design and implement such controls, the material weaknesses identified may not be remediated and management may be required to record additional adjustments to our financial statements in the future or otherwise not be able to produce timely or accurate financial statements. The material weaknesses will not be considered remediated until management completes the design and implementation of the measures described above, the controls operate for a sufficient period of time, and management has concluded, through testing, that these controls are effective. These remediation measures will be time-consuming and require financial and operational resources. If our management concludes that our internal control over financial reporting is not effective, such a determination could adversely affect investor confidence in us and the valuation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are implementing measures to remediate the material weaknesses, we cannot predict the success of such measures or the outcome of our assessment of these measures at this time. We can give no assurance that these measures will remediate the deficiencies in internal control over financial reporting or that additional 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may lead to a restatement of our financial statements or cause us to fail to meet our reporting obligations.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(“NOLs”) and research and development tax credit carryforwards to offset future taxable income may be subject to certain limitations.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history of cumulative losses and we anticipate that we will continue to incur significant losses in the foreseeable future. As a result, we do not know whether or when we will generate taxable income necessary to utilize our NOLs or research and development tax credit carryforwards. As of December 31, 2025, Kalaris had federal and state NOLs of $103.3 million and $46.8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respectively, and federal and state research and development tax credit carryforwards totaling $1.7 million and $0.9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under Section 382 of the Internal Revenue Code of 1986, as amended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research and development tax credit carryforwards to offset future taxable income. Legacy Kalaris experienced an ownership change in March 2022 related to a redeemable convertible preferred stock financing. Net operating loss of $3.6 million generated prior to the 2022 change in ownership will be permanently limited for California tax purposes. Net federal operating losses are not limited as they can be carried forward indefinitely. We may experience ownership changes in the future (which may be outside our control). As a result, if and to the extent we earn net taxable income, our ability to use our pre-change NOLs and research and development tax credit carryforwards to offset such taxable income may be subject to limitations.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Research and Development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early in our development efforts. If we are unable to commercialize TH103 or any product candidate we may develop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We received IND clearance for TH103 for the treatment of patients with nAMD in June 2024 and, in August 2024, we treated the first patient in our Phase 1a clinical trial of TH103 for patients with nAMD. In December 2025 and July 2026, we announced positive data from our Phase 1a SAD trial of TH103. Our ability to generate revenues from product sales, which we do not expect will occur for many years, if ever, will depend heavily on the successful development, marketing approval and eventual commercialization of TH103 or one or more other product candidates, which may never occur. The success of TH103 and any other product candidate we may develop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enrolling patients in our clinical trials of TH103 and completing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initiating and completing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scaling up manufacturing processes and capabilities to support clinical trials of TH103 and any other product candidate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applying for and receiving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intellectual property protection and regulatory exclusivity for TH103 and any other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or establishing commercial manufacturing capabilities, for both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TH103 and any other product candidate we may develop,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coverage, adequate pricing and adequate reimbursement from third-party payors,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enforcing, defending and protecting our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infringing, misappropriating or otherwise violating others’ intellectual property or proprietary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products following receipt of any marketing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achieve one or more of these factors in a timely manner or at all, we could experience significant delays or an inability to successfully develop and commercialize TH103 and any other product candidate we may develop, which would materially harm our business. As a company, we have limited experience in clinical development. Any predictions about the future success or viability of TH103 or any product candidates we may develop in the future may not be as accurate as they could be if we had a history of conducting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TH103 or any other product candidate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of failure for TH103 and any other product candidate we may develop is high. It is impossible to predict when or if TH103 or any other product candidate we may develop will prove effective or safe in humans or will receive marketing approval. Before obtaining marketing approval from regulatory authorities for the sale of a product candidate, we must complete preclinical development and then conduct extensive clinical trials to demonstrate the safety and efficacy of such product candidate in humans. Clinical trials may fail to demonstrate that TH103 or any of our other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we can commence clinical trials for any product candidate we may develop other than TH103, we must complete extensive preclinical testing and studies, manufacturing process development studies, and analytical development studies that support our planned INDs and other applications to regulatory authorities in the United States or similar applications in other jurisdictions. We cannot be certain of the timely completion or outcome of our preclinical testing and studies and cannot predict if the outcome of our preclinical testing and studies will ultimately support the further development of our current or future product candidates or whether regulatory authorities will accept our proposed clinical programs. In addition, before we can commence clinical trials of TH103 for Diabetic Macular Edema (“DME”), diabetic retinopathy, and Retinal Vein Occlusion, or any other intraocular indication, we must submit and clear INDs for the applicable indications in the United States or similar applications in other jurisdictions. As a result, we may not be able to submit applications to initiate clinical development of product candidates on the timelines we expect, if at all, and the submission of these applications may not result in regulatory authorities allowing clinical trials to begin.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testing is expensive, difficult to design and implement, can take many years to complete and is uncertain as to the outcome. We cannot guarantee that any of our clinical trials will be conducted as planned or completed on schedule, or at all. A failure of one or more clinical trials can occur at any stage of testing, which may result from a multitude of factors, including, among other things, flaws in study design, dose selection issues, placebo effects, patient enrollment criteria and failure to demonstrate favorable safety or efficacy traits.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TH103 or any other product candidate we may develop to demonstrate safety and efficacy in any clinical trial could negatively impact the perception of our other product candidates or cause regulatory authorities to require additional testing before approving any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our ability to receive marketing approval or commercialize any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(“IRBs”) may not authorize us or our investigators to commence a clinical trial or conduct a clinical trial at a prospective trial site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clinical trial contracts or clinical trial protocols with prospective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determine that the planned design of our clinical trials is flawed or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and we may decide, or regulators may require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clinical endpoints that applicable regulatory authorities consider clinically meaningful;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or regulators or IRBs may require us, to suspend or terminate clinical trials of our product candidates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IRBs may require us to perform additional or unanticipated clinical trials to obtain approval or we may be subject to additional post-marketing testing requirements to maintain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revise the requirements for approving our product candidates,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causing us or our clinical investigators, regulators or IRBs to suspend or terminate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withdraw their approval of a product or impose restrictions on our distribution;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any health epidemics, pandemics or other contagious outbreaks may result in adverse effects on our business and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unplanned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marketing approval in some countries and not in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additional post-marketing testing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the product removed from the market after obtaining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development costs will also increase if we experience delays in preclinical studies or clinical trials or in obtaining marketing or other regulatory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may conduct clinical trials at sites outside the United States. The Food and Drug Administration (the “FDA”) may not accept data from trials conducted in such locations, and the conduct of trials outside the United States could subject us to additional delays and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conduct one or more clinical trials at trial sites that are located outside the United States.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(1) the data are applicable to the United States population and United States medical practice; (2) the trials were performed by clinical investigators of recognized competence and pursuant to Good Clinical Practices (“GCP”) regulations; and (3) the data may be considered valid without the need for an on-site inspection by the FDA, or if the FDA considers such inspection to be necessary, the FDA is able to validate the data through an on-site inspection or other appropriate means.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TH103 or any other product candidate we may develop not receiving approval for commercialization in the applicable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clinical trials outside the United States also exposes us to additional risks, including risks associated 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foreign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in medical practice and 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diminished protection of intellectual property in some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in our trials resulting from geopolitical events, such as war or terrorism.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early-stage clinical trials and preclinical studies may not be predictive of future results. Initial success in clinical trials may not be indicative of results obtained when these trials are completed or in later stage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preliminary or interim results of a clinical trial do not necessarily predict final results. In addition, initial success in clinical trials may not be indicative of results obtained when such trials are completed. In particular, the small number of patients in our ongoing or future early clinical trials may make the results of these trials less predictive of the outcome of later clinical trials. For example, even if successful, the results of our Phase 1b/2 clinical trial of TH103 may not be predictive of the results of further clinical trials of TH103 or any other product candidate we may develop. Our product candidates may also fail to show the desired safety and efficacy in clinical development despite positive results in preclinical studies or having successfully advanced through initial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current or future clinical trials may not ultimately be successful or support further clinical development of any of our product candidates and we cannot assure you that any clinical trials that we may conduct will demonstrate consistent or adequate efficacy and safety to support marketing approval. There is a high failure rate for product candidates proceeding through clinical trials. Many companies in the biopharmaceutical industry have suffered significant setbacks in late-stage clinical trials even after achieving promising results in preclinical testing and earlier-stage clinical trials, and we cannot be certain that we will not face similar setbacks. Any such setbacks in our clinical development could materially harm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Interim and preliminary results from our clinical trials that we announce or publish from time to time may change as more participant data becomes available and are subject to audit and verification procedures, which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announce or publish interim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interim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patients in our clinical trials for TH103 or any other product candidate we develop, our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Phase 1a and Phase 1b/2 clinical trials for TH103 and any other product candidate we may develop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In addition, some of our competitors have ongoing clinical trials for product candidates that treat the same indications as TH103, and patients who would otherwise be eligible for our clinical trials may instead enroll in clinical trials of our competitors’ product candidates. We cannot predict how successful we will be at enrolling subjects in future clinical trials. Patient enrollment is affected by a variety of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under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requirements of the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existing FDA approved or off-label treatments for the indications for which we are conducting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conduct of clinical trials by competitors for product candidates that treat the same indications or address the same patient populations as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or lack of adequate compensation for, prospective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health epidemics, pandemics or other contagious outbreaks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locate and enroll a sufficient number of patients for our clinical trials would result in significant delays, could require us to abandon one or more clinical trials altogether and could delay or prevent our receipt of necessary marketing approvals. Enrollment delays in our clinical trials may result in increased development costs for our product candidates, which could cause the value of our business to decline and limit our ability to obtain additional financing.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If dose limiting toxicities, serious adverse events, undesirable side effects or unexpected characteristics are identified during the development of TH103 or any other product candidate we may develop, we may need to abandon or limit our further clinical development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TH103 or any other product candidate we may develop is associated with dose limiting toxicities, serious adverse events or undesirable side effects in clinical trials or have characteristics that are unexpected in clinical trials or preclinical testing, we may need to abandon development of such product candidate or limit development to more narrow uses or subpopulations in which the dose limiting toxicities, serious adverse events, undesirable side effects or unexpected characteristics are less prevalent, less severe or more acceptable from a risk-benefit perspective. For example, we have observed cases of intraocular inflammation (“IOI”) in our Phase 1a and Phase 1b/2 clinical trials of TH103. If we are unable to achieve an acceptable safety profile, the clinical development and commercial potential of TH103 may be adversely impacted. In pharmaceutical development, many compounds that initially showed promise in early-stage or clinical testing are later found to cause side effects that delay or prevent further development of the compound or decrease the size of the patient population for whom the compound could ultimately be prescribed.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the results of our clinical trials reveal undesirable side effects, we, regulatory authorities or the IRBs at the institutions in which our trials are conducted could suspend or terminate our clinical trials, regulatory authorities could order us to cease clinical trials or deny approval of our product candidates for any or all targeted indications or we could be forced to materially modify the design of our clinical trials. Treatment-related side effects could also affect patient recruitment or the ability of enrolled patients to complete any of our clinical trials or result in potential liability claims. In addition, these side effects may not be appropriately recognized or managed by the treating medical staff. If we elect or are forced to suspend or terminate any clinical trial of our product candidates, the commercial prospects of such product candidate will be harmed, and our ability to generate revenues from sales of such product candidate will be delayed or eliminated. Any of these occurrences could materially harm our business.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TH103 or any other product candidate we may develop receives marketing approval and we, or others, later discover that the drug is less effective than previously believed or causes undesirable side effects that were not previously identified, our ability to market the drug could be compromised.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conducting a Phase 1b/2 clinical trial of TH103 for nAMD. Clinical trials will be conducted in carefully defined subsets of patients who have agreed to enter into clinical trials. Consequently, it is possible that our clinical trials may indicate an apparent positive effect of TH103 that is greater than the actual positive effect, if any, or alternatively fail to identify undesirable side effects. If TH103 or any other product candidate we may develop receives marketing approval, and we, or others, later discover that they are less effective than previously believed, or cause undesirable side effects,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or limitation by regulatory authorities of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seizure of the product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the product or the manufacturing process for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 by regulatory authorities of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 that we implement a risk evaluation and mitigation strategy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commitment to expensive post-marketing studies as a prerequisite of approval by regulatory authorities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regulatory investigations and government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legal action against us to hold it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harm to our reputation and resulting harm to physician or patient acceptance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we are developing TH103 to be a best-in-class anti-vascular endothelial growth factor (“VEGF”) therapeutic for common retinal neovascular and exudative diseases. Even if TH103 were to receive marketing approval for any such indication, it may fail to demonstrate longer acting and increased VEGF activity that results in improved real-world outcomes for patients. Any of these events could prevent us from achieving or maintaining market acceptance of a particular product candidate, if approved, and could significantly harm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product candidates that we identify for specific indications. As a result, we may forego or delay the pursuit of opportunities with other product candidates or for other indications that later prove to have greater commercial potential. We may curtail, pause, delay or cease development of product candidates at any stage of preclinical or clinical development based on a variety of factors, including our judgments regarding costs or timing of further development, probability of success of clinical development, regulatory requirements, commercial potential, relative benefits and costs and our overall corporate strategy. Our resource allocation decisions may cause us to fail to capitalize on viable commercial products or profitable market opportunities. Our spending on product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TH103 or any other product candidate we may develop receives marketing approval, we may fail to achieve the degree of market acceptance by physicians, patients, third-party payors and others in the medical community necessary for commercial success, and the market opportunity for any of our product candidates, if approved, may be smaller than we estimate.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TH103 or any other product candidate we may develop receives marketing approval, we may nonetheless fail to gain sufficient market acceptance by physicians, patients, third-party payors and others in the medical community. There is already a large and well-established market for anti-VEGF therapies for retinal diseases, and patients may continue to rely on existing FDA approved or off-label therapies. Efforts to educate the medical community and third-party payors on the benefits of our product candidates may require significant resources and may not be successful. If our product candidates do not achieve an adequate level of acceptance, we may not generate significant revenues from product sales and we may not become profitable. The degree of market acceptance of our product candidates,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potential advantages of our product candidates compared to the advantages and relative risks of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third-party coverage and adequate reimbursement, and patients’ willingness to pay out of pocket for required co-payments or in the absence of third-party coverage or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the European Medical Agency (the “EMA”)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support from patient advocacy groups;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restrictions on the use of our products, if approved, together with other medications.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assessment of the potential market opportunity for our product candidates is based on industry and market data it obtained from industry publications, research, surveys and studies conducted by third parties and our analysis of these data,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revenues from product sales may be limited and it may be more difficult for us to achieve or maintain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sales, marketing and distribution capabilities or enter into sales, marketing and distribution agreements with third parties, we may not be successful in commercializing our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as a company in the sale, marketing or distribution of biopharmaceutical products. To achieve commercial success for any product for which we may obtain marketing approval, we will need to establish a sales, marketing and distribution organization, either ourselves or through collaborations or other arrangements with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commercialize TH103, if approved, with our own specialty salesforce. There are risks involved with us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 In general, the cost of establishing and maintaining a sales and marketing organization may exceed the cost-effectiveness of doing so.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marketing, market access, distribution,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equip sales personnel with effective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effectively manage a geographically dispersed sales and marketing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persuade adequate numbers of physicians to prescribe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establish our own sales, marketing and distribution capabilities and we enter into arrangements with third parties to perform these services, our revenues from product sales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 thus rendering our products non-competitive, obsolete or reducing the size of the market for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biopharmaceutical industry, and in particular the market for products treating retinal diseases, is characterized by intense investment and competition aimed at rapidly advancing new technologies. Our product candidates are expected to face substantial competition from multiple sources, including large and specialty pharmaceutical and biotechnology companies, academic research institutions and governmental agencies and public and private research institutions. Any product candidates that we successfully develop and commercialize will compete with existing therapies and new therapies that may emerge in the future within the field of ophthalmology and, furthermore, within the treatment of retinal disease.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aware of a number of companies generally pursuing products to treat retinal diseases, including large pharmaceutical companies that have commercialized or are developing treatments for nAMD, such as F. Hoffman La Roche AG (“Roche”), Novartis AG (“Novartis”), Regeneron Pharmaceuticals, Inc. (“Regeneron”), AbbVie Inc. (“AbbVie”) and Eli Lilly and Company (“Lilly”). Roche has received FDA approval for faricimab, ranibizumab and bevacizumab, though bevacizumab is not approved specifically for nAMD; Novartis has received FDA approval for brolucizumab; and Regeneron has received FDA approval for aflibercept and aflibercept HD. AbbVie is currently collaborating with RegenexBio Inc. (“RegenexBio”) to develop ABBV-RGX-314 as a potential gene therapy treatment for nAMD. Merck &amp; Co. is developing MK-3000, a tri-specific antibody, and MK-8748, a bispecific antibody, for DME and nAMD. In December 2025, Lilly completed the acquisition of Adverum Biotechnologies, Inc. (“Adverum”), including its portfolio of investigational gene therapy products such as ixoberogene soroparvovec (ixo-vec), for which Adverum had previously reported results from a Phase 2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companies have received FDA approval for biosimilars to treat nAMD, including: Samsung Bioepis Co., Ltd. and Biogen Inc., which received approval for Byooviz (ranibizumab-nuna), a ranibizumab biosimilar, in September 2021 and Opuviz (aflibercept-yszy) in May 2024; Coherus BioSciences, Inc., which obtained approval for Cimerli (ranibizumab-eqrn), a ranibizumab biosimilar, in August 2022; Formycon AG, which received approval for Ahzantive (aflibercept-mrbb) in June 2024; Sandoz Group AG, which received approval for Enzeevu (aflibercept-abzv) in August 2024; Mylan Laboratories Inc. and Biocon Biologics Limited, which received approval for Yesafili (afliberceptjbvf), an aflibercept biosimilar, in May 2024; and Amgen Inc. (“Amgen”), which received approval for Pavblu (aflibercept-ayyh) in August 2024. Amgen launched and began commercial distribution of Pavblu for retinal diseases in the fourth quarter of 2024, and Outlook Therapeutics, Inc. is developing bevacizumab-vikg, an investigational ophthalmic formulation of bevacizumab as a potential treatment for nAMD. Additional aflibercept biosimilars are expected to enter the market, which may provide new, cost-effective options for the treatment of nAMD, as well as other retinal conditions mediated by VEGF.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biopharmaceutical companies advancing therapeutic candidates through clinical trials to treat nAMD include 4D Molecular Therapeutics, Inc. (“4D Molecular Therapeutics”), RegenexBio, Eyepoint Pharmaceuticals, Inc. (“Eyepoint Pharmaceuticals”), Ocular Therapeutix, Inc. (“Ocular Therapeutix”), Kodiak Sciences, Inc. (“Kodiak”), and Ollin Biosciences, Inc. (“Ollin”), among others. 4D Molecular Therapeutics and RegenexBio are each advancing anti-VEGF gene therapy candidates to treat nAMD. 4D Molecular Therapeutics’ drug candidate is in an ongoing Phase 3 trial for nAMD and a Phase 2 trial for DME and RegenexBio’s drug candidate is in a pivotal clinical trial for nAMD and a Phase 2 trial for a potential DR treatment. Eyepoint Pharmaceuticals is developing a sustained release, small molecule tyrosine kinase inhibitor, which is currently under evaluation in two ongoing Phase 3 trials for nAMD and two ongoing Phase 3 trials for DME. Ocular Therapeutix is currently conducting two Phase 3 trials of axitinib intravitreal implant, a small molecule tyrosine kinase inhibitor to treat nAMD, which is also being evaluated in a Phase 3 trial for DR. Kodiak is investigating multiple therapeutics in retinal diseases, including tarcocimab, an investigational anti-VEGF therapy, and KSI-501, a bi-specific anti-IL-6/VEGF trap, both of which are being evaluated in a Phase 3 trial in nAMD. Ollin is investigating OLN324, a VEGF/Ang2 bispecific antibody, in DME and nAMD and plans to advance OLN324 into global Phase 3 trials in both nAMD and DME later in 2026. Several other companies are also developing therapies for nAMD, DME, and other retinal diseases in various earlier stages of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either alone or in combination with their respective strategic partners, have significantly greater financial, technical and human resources and expertise in research and development, manufacturing, preclinical testing, conducting clinical trials, the regulatory approval process, and marketing than we do. These same competitors also compete with us in recruiting and retaining qualified scientific and management personnel and establishing clinical trial sites and patient registration for clinical trials, as well as in acquiring technologies complementary to, or necessary for, our development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more rapidly than we may obtain approval for our products, which could result in our competitors establishing a strong market position before we are able to enter the market. In addition, our ability to compete may be affected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cases by insurers or other third-party payors seeking to encourage the use of generic and/or biosimilar products. There are biosimilar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Technology in the biopharmaceutical industry has undergone rapid and significant change, and we expect that it will continue to do so. Any products or processes that we develop may become obsolete or uneconomical before we recover any expenses incurred in connection with their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Mergers and acquisition activity in the pharmaceutical, biopharmaceutical and biotechnology sector is likely to result in greater resource concentration among a smaller number of our competitors. Smaller and other early-stage companies may also prove to be significant competitors, particularly through sizeable collaborative arrangements with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pursued and may in the future pursue the in-license or acquisition of rights to complementary technologies and product candidates on an opportunistic basis. However, we may be unable to in-license or acquire any additional technologies or product candidates from third parties. The acquisition and licensing of technologies and product candidates is a competitive area, and a number of more established companies also have similar strategies to in-license or acquire technologies and product candidates that we may consider attractive. These established companies may have a competitive advantage over us due to their size, cash resources and greater development and commercialization capabilities. In addition, companies that perceive us to be a competitor may be unwilling to assign or license rights to it. We also may be unable to in-license or acquire the relevant technology or product candidate on terms that would allow us to make an appropriate return on 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trial and product liability lawsuits against us could divert our resources and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clinical trial and product liability exposure related to the testing of our product candidates in human clinical trials and will face an even greater risk if we commercially sell any products that we may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candidates or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marketing approval, recall, restriction on the approval or a “black box” warning or contraindication for an approved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costs to defend any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resources of our management to pursue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distraction of management’s attention from our primary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products that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need to increase our insurance coverage as we expands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expect to continue to rely, on third parties to conduct our clinical trials, and those third parties may not perform satisfactorily, including failing to meet deadlines for the completion of such trials, which may prevent or delay our ability to seek or obtain marketing approval for or commercialize our product candidates or otherwise harm our business. If we are not able to maintain these third-party relationships or if these arrangements are terminated, we may have to alter our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to continue to rely, on third-party clinical research organizations, in addition to other third parties such as research collaboratives, clinical data management organizations, medical institutions and clinical investigators, to conduct our Phase 1b/2 clinical trial of TH103 and any other clinical trials we conduct. We currently have no plans to independently conduct clinical trials of TH103 or any other product candidate that we may develop. These contract research organizations (“CROs”) and other third parties play a significant role in the conduct and timing of these trials and subsequent collection and analysis of data. These third-party arrangements might terminate for a variety of reasons, including a failure to perform by the third parties. If we need to enter into alternative arrangements, our product development activities might be delayed.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product development activities reduces our control over these activities but does not relieve us of our responsibilities. For example, we will remain responsible for ensuring that each of our clinical trials is conducted in accordance with the general investigational plan and protocols for the trial. Moreover, the FDA requires us to comply with good clinical practices (“GCPs”) for conducting, recording and reporting the results of clinical trials to assure that data and reported results are credible and accurate and that the rights, integrity and confidentiality of trial participants are protected. Regulatory authorities in Europe and other jurisdictions have similar requirements.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are also required to register ongoing clinical trials and post the results of completed clinical trials on a government-sponsored database, ClinicalTrials.gov, within specified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marketing application we submit to the FDA. Any such delay or rejection could prevent us from commercializing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or do so on commercially reasonable terms. Switching or adding more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Manufacturing biologics is complex, and we may experience manufacturing problems that result in delays in our development or future commercialization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of biologics is complex and difficult and we may experience production issues or interruptions for TH103 or any other product candidate it may develop, including raw material or starting material variability in terms of quality, cell line viability, productivity or stability issues, shortages of any kind, shipping, distribution, storage and supply chain failures, growth media contamination, equipment malfunctions, operator errors, facility contamination, labor problems, natural disasters, disruption in utility services, terrorist activities, or acts of god that are beyond our control or the control of our contract development and manufacturing organizations (“CDMOs”).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nature of biologics manufacturing, there is a risk of contamination during manufacturing. Any contamination could materially harm our or our CDMOs’ ability to produce TH103 or any other product candidate it may develop on schedule and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harm our results of operations and cause reputational damage. Some of the raw materials that we require in our manufacturing process are derived from biologic sources. Such raw materials may be difficult to procure and may be subject to contamination or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with the manufacturing process, even minor deviations from the normal process, could result in product defects or manufacturing failures that result in lot failures, product recalls, product liability claims, insufficient inventory or potentially delay progression of our clinical development of TH103 and any other product candidate it may develop. For example, we have observed cases of IOI in our Phase 1a and Phase 1b/2 clinical trials of TH103, and we believe that retained impurities that are a byproduct of the biologic manufacturing process for TH103 may have been a contributing factor for these cases. Although we believe we have made progress in reducing the level of impurities in our manufactured drug product and were already at levels acceptable to the FDA for an investigational product, we may never succeed in our goal of reducing these impurities to a level that does not result in cases of IOI at clinically relevant dose levels. Moreover, our efforts to improve our manufacturing process to remove impurities has in the past, and may in the future, cause delays in our clinical development program. We have also experienced performance failures at our third-party manufacturers that have resulted in lower drug product production yields than expected, as well as delays.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successfully develop TH103 and any other product candidate, we may encounter problems achieving adequate quantities and quality that meet FDA, EMA or other comparable applicable foreign standards or specifications with consistent and acceptable production yields and costs. The ability to scale our manufacturing and maintain the manufacturing process at the same levels of quality and efficiency is yet to be tested. If we or our third-party CDMOs are unable to scale our manufacturing at the same levels of quality and efficiency, we may not be able to supply the required number of doses for clinical trials or commercial supply. A material shortage, contamination or manufacturing failure in the manufacture of TH103 and any other product candidate we may develop or other adverse impact or disruption in the commercial manufacturing or the production of clinical material could materially harm our development timelines and our business, financial condition, results of operations and prospects. </w:t>
      </w:r>
    </w:p>
    <w:p>
      <w:pPr>
        <w:pStyle w:val="TextBody"/>
        <w:bidi w:val="0"/>
        <w:jc w:val="left"/>
        <w:rPr>
          <w:rFonts w:cs="Tahoma;sans-serif"/>
          <w:color w:val="000000"/>
          <w:szCs w:val="20"/>
        </w:rPr>
      </w:pPr>
      <w:r>
        <w:rPr>
          <w:rFonts w:cs="Tahoma;sans-serif"/>
          <w:color w:val="000000"/>
          <w:szCs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third-party CDMOs for the manufacture of both drug substance and finished drug product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rely, and expect to continue to rely, on third-party CDMOs for both drug substance and finished drug product, as well as for commercial manufacture of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 We may be unable to establish any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failure to manufacture our product candidate or product according to our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failure to manufacture our product candidate or product according to our schedule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third-party manufacturers may encounter shortages in the manufacturing of supplies,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We and our third-party manufacturers’ failure to obtain the raw materials or active pharmaceutical ingredients necessary to manufacture sufficient quantities of our product candidates may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third-party manufacturers are subject to inspection and approval by regulatory authorities before we can commence the manufacture and sale of any of our product candidates, and thereafter subject to ongoing inspection from time to time. Third-party manufacturers may not be able to comply with current good manufacturing practices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candidates or products may adversely affect our future profit margins and our ability to commercialize any products that receive marketing approval on a timely and competitive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rely, and may in the future rely, on single-source suppliers for certain materials and components used in the manufacturing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may in the future rely, on single-source suppliers for certain materials and components used in the manufacturing of our product candidates. There are, for certain of these materials and components, few, if any, alternative sources of supply and there is limited need for multiple suppliers at this stage of our business. We cannot ensure that these suppliers will remain in business, have sufficient capacity or supply to meet our needs, be able to supply materials to us at costs that are acceptable to us, or that they will not be purchased by one of our competitors or another company that is not interested in continuing to work with us. Our use of single-source suppliers of certain materials and components exposes it to several risks, including disruptions in supply, price increases or late deliveries. Our suppliers may be unable or unwilling to meet our future demands for our clinical trials. Establishing additional or replacement suppliers for these materials and components could take a substantial amount of time and it may be difficult to establish replacement suppliers who meet regulatory requirements. Any disruption in supply from these single-source suppliers could lead to supply delays or interruptions which would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enter into collaborations with third parties for the research, development and commercialization of certain of our product candidates. If our collaborations are not successful, we may not be able to capitalize on the market potential of these product candidates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enter into third-party collaborators for the research, development and commercialization of certain of our product candidates. Our likely collaborators include large and mid-size pharmaceutical companies and biotechnology companies. Any such arrangements with third parties will likely limit our control over the amount and timing of resources that our collaborators dedicate to the development or commercialization of our product candidates we may seek to develop with them. Our ability to generate revenues from these arrangements will depend on our collaborators’ abilities and efforts to successfully perform the functions assigned to them in these arrangements. We cannot predict the success of any collaboration that we enter into.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amount and timing of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fail to comply with applicable regulatory requirements regarding the development, manufacture, distribution or marketing of a product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seek to renegotiate or terminate their relationship with us due to unsatisfactory clinical results, manufacturing issues, a change in business strategy, a change of control or other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of our product candidates that achieve marketing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misappropriate or otherwise violate the intellectual property or proprietary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we could be required to raise additional capital to pursue further development or commercialization of the applicable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If a present or future collaborator of ours was to be involved in a business combination, the continued pursuit and emphasis on our product development or commercialization program under such collaboration could be delayed, diminished or terminated.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or do not receive it in the timeframe in which we expect to receive it, the development of our product candidates could be delayed, and we may need additional resources to develop our product candidates. All of the risks relating to product development, marketing approval and commercialization described herein also apply to the activities of our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 the future decide to collaborate with biopharmaceutical companies for the development and potential commercialization of any product candidates we may develop.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it is unable to successfully integrate them with our existing operations and company culture.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to establish additional collaborations. If we are not able to establish or maintain additional collaborations, on commercially reasonable terms, we may have to alter our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selectively pursue collaborations with leading biopharmaceutical companies with particular experience, including development and commercial expertise and capabilities. We face significant competition in attracting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other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the terms of any existing collaboration agreements,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document and execute. In addition, there have been a significant number of recent business combinations among large biopharmaceutical companies that have resulted in a reduced number of potential future collaborators. Any collaboration we may enter into may limit our ability to enter into future agreements on particular terms or covering similar target indications with other potential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reach agreements with suitable collaborators on a timely basis, on acceptable terms or at all,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expect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revenue from product sales, which could have an adverse effect on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Any acquisitions or in-license transactions that we complete could disrupt our business, cause dilution to our stockholders or reduce our financial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enter into transactions to in-license or acquire other businesses, intellectual property, technologies, product candidates or products. If we determine to pursue a particular transaction, we may not be able to complete the transaction on favorable terms, or at all. Any in-licenses or acquisitions we complete may not strengthen our competitive position, and these transactions may be viewed negatively by investors. We may decide to incur debt in connection with an in-license or acquisition or issue our common stock or other equity securities to the stockholders of the target company, which would reduce the percentage ownership of our existing stockholders. We could incur losses resulting from undiscovered liabilities that are not covered by the indemnification it may obtain from the seller. In addition, we may not be able to successfully integrate the acquired personnel, technologies and operations into our existing business in an effective, timely and nondisruptive manner. In-license and acquisition transactions may also divert management attention from day-to-day responsibilities, increase our expenses and reduce our cash available for operations and other uses. We cannot predict the number, timing or size of additional future in-licenses or acquisitions or the effect that any such transactions might have on our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sufficient intellectual property protection for our technology, our product candidates, and product candidates we may develop,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 candidates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trademarks, trade secret protection, and confidentiality agreements to protect the intellectual property related to our development programs and product candidates. Our success depends in part on our ability to obtain and maintain patent protection in the United States and other countries with respect to TH103 or our other current or future product candidates. If we are unable to obtain or maintain patent protection with respect to TH103 or our other current or future product candidates, and their uses, our business, financial condition, resultant operations and prospects could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generally seek to protect our proprietary position by filing patent applications in the United States and abroad related to our development programs, product candidates and novel discoveries that are important to our business, as appropriate. Our pending and future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issued will not be infringed, designed around or invalidated by third parties, including generics. The patent prosecution process is expensive and time-consuming, and we may not be able to file, prosecute, enforce or license all necessary or desirable patent applications at a reasonable cost or in a timely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patents and patent applications may fail to result in issued patents with claims that adequately protect TH103 and our other current or future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TH103 or our other current or future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the scope and coverage of such patents may be so narrow that a third party could successfully design around our patents without materially impacting the therapeutic effectiveness of the resulting drug product. Further, if we encounter delays in regulatory approvals, the period of time during which we could market a product candidate under patent protection could be reduced.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requires us to disclose all material references to the Patent Examiner during prosecution of our patent applications at the USPTO, and failure to do so could result in a third party successfully challenging our ability to enforce a patent against an infringer;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applications may not result in any patents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granted patents may not have a claim scope that covers TH103 or our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may be challenged, invalidated, modified, revoked, circumvented, found to be unenforceable or otherwise may not provide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pressure on the United States government and international governmental bodies to limit the scope of patent protection both inside and outside the United States for treatments of diseases or conditions that prove successful, as a matter of public policy regarding worldwide health concerns;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other than the United States may have patent laws less favorable to patentees than those upheld by United States courts, allowing foreign competitors a better opportunity to create, develop and market competing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also expensive and time-consuming, and we may not be able to file, prosecute, maintain, enforce or license all necessary or desirable patent applications or maintain and/or enforce patents that may issue based on our patent applications, at a reasonable cost or in a timely manner or in all jurisdictions where protection may be commercially advantageous.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output before it is too late to obtain patent protection. Moreover, for patent rights that we have or will in license from third parties, we may not have the right to control the preparation, filing, and prosecution of such patent applications, or to maintain the patents, directed to technology that we license from those third parties. We may also require the cooperation of our licensor(s) in order to enforce the licensed patent rights, and such cooperation may not be provided. Therefore, any licensed patents and applications may not be prosecuted and enforced in a manner consistent with the best interests of our business. We cannot be certain that patent prosecution and maintenance activities by any of our current or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patent applications we hold or in-license (or will hold or in-license) with respect to our development programs and product candidates fail to issue, if their breadth or strength of protection is threatened, or if they fail to provide meaningful exclusivity for TH103 or our other current or future product candidates, it could dissuade other companies from collaborating with us to develop product candidates, and threaten our ability to commercialize TH103 and our other current or future product candidates. Any such outcome could have a materially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and will continue to be the subject of litigation and new legislation, resulting in court decisions, including Supreme Court decisions, which have increased uncertainties as to the ability to enforce patent rights in the future.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and other countries may diminish the value of our patents or narrow the scope of our patent protection. For example, the Leahy-Smith America Invents Act created new administrative post-grant proceedings, including post-grant review, inter partes review, and derivation proceedings that allow third parties to challenge the validity of issued patents.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could weaken our ability to obtain new patents or to enforce our existing patents and patents that we might obtain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may be subject to a third-party pre-issuance submission of prior art to the USPTO or become involved in opposition, derivation, reexamination, inter partes review, post-grant review or interference proceedings challenging our patent rights or the patent rights of others. The costs of defending patents or enforcing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inventorship, scope, validity, or enforceability, and our owned and licensed patents and patent applications may be challenged in the courts or patent offices in the United States and abroad. Even issued patents may later be found invalid or unenforceable or may be modified or revoked in proceedings instituted by third parties before various patent offices or in courts. An adverse decision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incurred by the USPTO in examining the patent application (patent term adjustment). The scope of patent protection may also be limited.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secure adequate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the claims in patents or our pending patent applications directed to TH103 and our other current or future product candidates will be considered patentable by the USPTO, by patent offices in foreign countries, by the courts, or by other relevant authority.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relevant to our business. There is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Even if the patents do issue based on the patent applications we solely own, co-own, or exclusively license,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patent, trademark, trade secret and other intellectual property protection in the development, manufacturing and sale of TH103 and our other current and any future product candidates. In particular, patent protection is important in the development and eventual commercialization of TH103 and our other current or any future product candidates. Patents covering TH103 and our other current or any future product candidates normally provide market exclusivity, which is important in order for TH103 and our other current or any future product candidates to become profitable.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rights are of limited duration. In the United States, if all maintenance fees are paid timely, the natural expiration of a patent is generally 20 years after the filing date of the first non-provisional patent application in the patent family. Various extensions may be available, but the life of a patent, and the protection it affords is limited.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generic products. As a result, our patent portfolio may not provide us with sufficient rights to exclude others from commercializing product candidates similar or identical to ours. Upon issuance in the United States, the term of a patent can be increased by patent term adjustment, which is based on certain delays caused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USPTO, but this increase can be reduced or eliminated based on certain delays caused by the patent applicant during patent prosecution. The term of a U.S. patent may also be shortened if the patent is terminally disclaimed over an earlier-filed patent.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approval of TH103 and our other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based on the first approved use of a product and is limited to only one patent that covers the approved product, the approved use of the product, or a method of manufacturing the product. Such patent term extension cannot extend the remaining term of a patent beyond a total of 14 years from the date of product approval.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project or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Laws governing analogous patent term extension (“PTE”) in foreign jurisdictions vary widely, as do laws governing the ability to obtain multiple patents from a single patent family. Additionally, we may not receive an extension if we fail to exercise due diligence during the testing phase or regulatory review process, fail to apply within applicable deadlines, fail to apply prior to expiration of relevant patents or otherwise fail to satisfy applicable requirements. If we are unable to obtain PTE or restoration, or the term of any such extension is less than we project or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and/or patent applications will be due to be paid to the USPTO and other foreign patent agencies in several stages over the lifetime of our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employ reputable law firms and other professionals to help us comply with these provisions.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If such an event were to occur, it could have a material adverse effect on our business. If we or any of our licensors fail to maintain the patents and patent applications covering TH103 and our other current or any future product candidates, our competitors may be able to enter the market, which would have an adverse effect on our business, financial conditions, results of operations and growth prospects. We do not have granted patents in certain markets and cannot guarantee that we will obtain patent coverage in such markets that cover TH103 and our other current or any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TH103 and our other current or any future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incomplete databases and the difficulty in assessing the meaning of patent claims. We cannot provide any assurances that third-party patents do not exist which might be enforced against our existing products or current technology, including our research programs, TH103 and our other current or future product candidates, their respective methods of use, and manufacture thereof, and could result in either an injunction prohibiting our manufacture or future sales, or, with respect to our future sales, an obligation on our part to pay royalties and/or other forms of compensation to third parties, which could be significant.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product candidates or will prevent, limit or otherwise interfere with our ability to make, use or sell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involved in third-party claims of intellectual property infringement, which may delay or prevent the development and commercialization of our current and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TH103 and our other current and any future product candidates, while avoiding infringement and other violations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We may be exposed to, or threatened with, future litigation by third parties having patent or other intellectual property rights who allege that our product candidates, uses and/or other proprietary technologies infringe their intellectual property rights.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third parties may obtain patent rights in the future and claim that use of our technologies infringes upon their rights. If any third-party patents were held by a court of competent jurisdiction to cover the manufacturing process of any of our product candidates, any products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it is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product candidates, resulting in either an injunction prohibiting our sales, or, with respect to our sales, an obligation on our part to pay royalties or other forms of compensation to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rights, or the patents or other intellectual property rights of any licensors, which could be expensive, time consuming, and unsuccessful, and could result in a court or administrative body finding our patents to be invalid or unenforceable.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challenge, infringe, or otherwise violate our patents, the patents of our licensors, or our other intellectual property rights. To counter challenges, infringement, or unauthorized use or misappropriations, we or any licensors may be required to file or defend legal claims, which can be expensive and time-consuming. In addition, in such a proceeding, a court may decide that one or more patents of ours or any of our current or future licensors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(inventive step), non-enablement, insufficient written description, or failure to claim patent-eligible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In any patent infringement proceeding, there is a risk that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court will decide that a patent of ours (or of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licensors’) patent claims do not cover the invention, or decide that the other party’s use of ours (or any licensors’) patented technology falls under the safe harbor to patent infringement under 35 U.S.C. §271(e)(1). An adverse outcome in a litigation or proceeding involving our or any licensors’ patents could limit our ability to assert our own or any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there is no invalidating prior art, of which we and the patent examiner were unaware during prosecution. For any patents and patent applications that we may license from third parties in the future, we may have limited or no right to participate in the defense of such licensed patents against challenge by a third party. If a defendant were to prevail on a legal assertion of invalidity or unenforceability, we would lose at least part, and perhaps all, of the patent protection on our current or future product candidates. Such a loss of patent protection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prevent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Moreover, we cannot assure you that it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patents, any patents that may be issued as a result of our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United States patent law or the patent law of other countries or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relating to TH103 and our other current and any future product candidates.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The United States has enacted and implemented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subject to the jurisdiction of the Unitary Patent Court (“UPC”). As the UPC is a relatively new court system, there is limited precedent for the court, increasing the uncertainty of any litigation. Patents granted before the implementation of the UPC have the option of opting out of the jurisdiction of the UPC over the first seven years of the court’s existence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provides our competitors with a new forum to centrally revoke our European patents and allow for the possibility of a competitor to obtain a pan-European injunction. Such a loss of patent protection could have a material adverse impact on our business and our ability to commercialize our technology and product candidates due to increased competition and, resultantly, on our business, financial condition, prospects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 which could impair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are of national or regional effect, and filing, prosecuting, and defending patents covering TH103 and our other current and any future product candidates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may have or obtain patent protection, but where patent enforcement is not as strong as that in the United States. These competitors’ products may compete with our products in such jurisdictions and take away our market share where we do not have any issued or licensed patents, and any future patent claims or other intellectual property rights may not be effective or sufficient to prevent them from so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its product candidates. Accordingly, our efforts to protect our intellectual property rights in such countries may be inadequate, which may have an adverse effect on our ability to successfully commercialize TH103 and our other current or future product candidates in all of our expected significant foreign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As a result, the patent owner may have limited remedies in certain circumstances,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protect or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its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our efforts to protect our intellectual property rights in such countries may be inadequate, which may have an adverse effect on our ability to successfully commercialize TH103 and our other current or future product candidates in all of our expected significant foreign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time-consuming, expensive and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geo-political actions in the United States and in foreign countries (such as the Russia and Ukraine conflict) could increase the uncertainties and costs surrounding the prosecution or maintenance of our patent applications or those of any current or future licensors and the maintenance, enforcement or defense of its issued patents or those of any current or future licensors. Accordingly,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may seek to rely on trade secret protection to protect proprietary know-how that is not patentable, processes for which patents are difficult to enforce and any other elements of our product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our its proprietary know-how, information, or technology to enter into confidentiality agreements,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expect to rely on third parties to manufacture TH103 and our other current and any future product candidates, and we expect to collaborate with third parties on the continuing development of TH103 and our other current and any future product candidates, we must, at times, share trade secrets with them. We also expect to conduct research and development programs that may require us to share trade secrets under the terms of our partnerships or agreements with CROs. We seek to protect our proprietary technology in part by entering into agreements containing confidentiality and use restrictions and obligations, including material transfer agreements, consulting agreements, manufacturing and supply agreements, confidentiality agreements or other similar agreements with our advisors, employees, contractors, CDMOs, CROs, other service providers and consultants prior to disclosing proprietary information. These agreements typically limit the rights of the third parties to use or disclose our confidential information, including our trade secrets.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contractual provisions employed when working with third parties, the need to share trade secrets and other confidential information increases the risk that such trade secrets become known by its competitors, are inadvertently incorporated into the technology of others, or are disclosed or used in violation of these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these agreements typically restrict the ability of our advisors, employees, third-party contractors CDMOs, CROs, other service providers and consultants to publish data potentially relating to our trade secrets, although such agreements may contain certain limited publication rights. Despite our efforts to protect our trade secrets, our competitors may discover such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In addition, courts outside the United States are sometimes less willing to protect trade secrets. If we choose to go to court to stop a third party from using any of its trade secrets, we may incur substantial costs. These lawsuits may consume our time and other resources even if we are successful. For example, significant elements of our products, including confidential aspects of sample preparation, methods of manufacturing, and related processes and software, are based on unpatented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their former employers or other third parties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or at research institutions, including our competitors or potential competitors. Although we try to ensure that our employees, consultants, and advisors do not use the proprietary information or know-how of others in their work for us, we may be subject to claims that these individuals have or we have used or disclosed intellectual property, including trade secrets or other proprietary information, of any such individual’s current or former employer. Further,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its employees’ former employers or other third parties.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also be subject to claims that former employers, consultants or other third parties have an ownership interest in our patents or patent applications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There is no guarantee of success in defending these claims, and if we fail in defending any such claims, in addition to paying monetary damages, we may lose valuable intellectual property rights, such as exclusive ownership of, or right to use, valuable intellectual property.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Even if we are successful, litigation could result in substantial cost and be a distraction to our management and other employees. Any of the foregoing could adversely affect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use registered or unregistered trademarks or trade names to brand and market ourselves and our products. Our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protect our rights to these trademarks and trade names, which we need to build name recognition among potential partners or customers in its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proprietary name we propose to use with our current or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formulations, compositions, or products that are the same as or similar to our current and future product candidates, but that are not covered by the pending patent applications or patents that we own or any pending patent applications or patents that we in-license;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 that is similar to our current and future product candidates that we intend to commercialize and that is not covered by the patents that we own or have exclusively licensed and have the right to enforce;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licensors, or collaborators might not have been the first to make the inventions covered by the issued patents or pending patent applications that we own or in-license;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might not have been the first to file patent applications covering certain of our or those licensors’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or otherwise violating our owned intellectual property rights or any patent applications that we have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whether owned or in-licensed,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either own or have licensed may be revoked, modified or held 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either own or have licensed may not provide us with any competitive advantages;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have access to the same intellectual property rights licensed to us in the future on a non-exclusive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scope of protection of any patent issuing based on our or our licensor(s) patent applications, including whether the patent applications that we own or in-license will result in issued patents with claims directed to our product candidates or uses thereof in the United States or in other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any patent issuing based on our patent applications may not provide protection against competitors or any competitive advantages, or may be challenged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enforced, a court may not hold that our patents are valid, enforceable or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initiate litigation or administrative proceedings to enforce and/or defend our patent rights which will be costly whether we win or lose;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application in order to maintain certain trade secrets or know-how, and a third party may subsequently file a patent application covering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police our trademarks and trade secrets;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including if others obtain patents claiming subject matter similar to or improving that covered by our patent applications.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our obligations under any license, collaboration or other agreements, such agreements may be terminated, we may be required to pay damages and could lose intellectual property rights that are necessary for developing and protecting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license rights to current and future product candidates or data from third parties, and may enter into additional licensing agreements in the future. For example, we are party to a purchase and research use agreement relating to the license of a cell line for use in the production of TH103, and we are party to a license agreement pursuant to which we have licensed the intellectual property rights to develop and commercialize TH103. If any licensors fail to prosecute, maintain, enforce, and defend such patents, or lose rights to those patents, the rights we have licensed may be reduced or eliminated, and our right to develop and commercialize future product candidates that may be subject of such licensed rights could be adversely affected. In spite of our efforts, any licensors might conclude that we are in material breach of obligations under our license agreements.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If such in-licenses are terminated, or if the underlying patents fail to provide the intended exclusivity, our competitors will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Any of these events could adversely affect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either party’s financial or other obligations under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patents and other rights under our collaborative development relationships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transfer or assign the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any of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license prevent or impair our ability to maintain its licensing arrangements on acceptable terms, we may not be able to successfully develop and commercialize the affected product candidates, which would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certain of our current or future agreements with third parties may limit or delay our ability to consummate certain transactions, may impact the value of those transactions, or may limit our ability to pursue certain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its patents or patent applications may exist, or may arise in the future, for example with respect to proper priority claims, inventorship, ownership, claim scope, or requests for patent term adjustments. If such defects are identified in a granted patent, we may reissue the granted patent, which would require us to relinquish the patent, and subject the patent to subsequent reissue patent examination. During reissue examination, there is no guarantee that a similar scope of claim would again be granted or that any claim would be granted at all. In addition, if defects in ownership or assignment of rights are identified, there is no guarantee that we would be able to perfect such ownership or assignment of rights.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its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where we have the right to control patent prosecution of patents and patent applications under a license from third parties, we may still be adversely affected or prejudiced by actions or inactions of our predecessors or licensors and their counsel that took place prior to us assuming control over patent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acquired technologies and current or future licensed technology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our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license or acquire new or necessary intellectual property rights or technology from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development programs may require the use of proprietary rights held by third parties, the growth of our business may depend in part on our ability to acquire, in-license, or use these third-party proprietary rights. Further, other parties, including our competitors, may have patents and have filed (or will file) patent applications potentially relevant to its business. In order to avoid infringing these patents, we may find it necessary or prudent to obtain licenses to such patents from such parties. The licensing or acquisition of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its investment or at all. No assurance can be given that we will be successful in licensing any additional rights or technologies from third parties.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its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product candidates could be impacted and costs could increase, extending timelines associated with the development of such other product candidates if we fail to acquire necessary rights or licenses. We may even have to abandon the development of the relevant program or product candidate. Any of the foregoing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their manufacture or future sales, or, with respect to their future sales, an obligation on our part to pay royalties and/or other forms of compensation to third parties, which could be significant.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and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complete the necessary preclinical studies and clinical trials for our product candidates, the regulatory approval process is expensive, time-consuming and uncertain and we may not receive approvals for the commercialization of some or all of our product candidates in a timely manner,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long-term success and ability to sustain and grow revenue depends on our ability to continue to successfully develop our product candidates and obtain regulatory approval to market our products both in and outside of the United States. In order to market and sell our products in the European Union and many other jurisdictions, we must obtain separate marketing approvals and comply with numerous and varying regulatory requirements. The FDA and comparable foreign regulatory authorities, whose laws and regulations may differ from country to country, impose substantial requirements on the development of product candidates to become eligible for marketing approval, have substantial discretion in the process, and may refuse to accept any application or may decide that the data are insufficient for approval and require additional preclinical studies, clinical trials or other studies and testing. The time required to obtain approval outside of the United States may differ substantially from that required to obtain FDA approval. For example, in many countries outside of the United States, it is required that the product also be approved for reimbursement before the product can be sold in that country.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indication to establish the product candidate’s safety and efficacy.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or the enactment of additional statutes, promulgation of regulations or issuance of guidance during preclinical or clinical development, or comparable changes in the regulatory review process for each submitted product application, may cause delays in the approval or rejection of an application. For example, in December 2022, with the passage of the Food and Drug Omnibus Reform Act of 2022 (“FDORA”), Congress required sponsors to develop and submit a developmentally appropriate practice (“DAP”) for each Phase 3 clinical trial or any other “pivotal study” of a biological product. These plans are meant to encourage the enrollment of more diverse patient populations in late-stage clinical trials of FDA 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27, 2025, in response to an Executive Order issued by President Trump on January 21, 2025, on Diversity, Equity and Inclusion programs, the FDA removed the draft DAP guidance from its website. That action, along with similar actions by the Trump Administration to remove many other healthcare webpages, is currently the subject of ongoing litigation. On July 3, 2025, the U.S. District Court for the District of Columbia ruled that the administration’s actions to remove these webpages, including the draft DAP guidance, is unlawful under the Administrative Procedure Act (the “APA”).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marketing applications.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on January 31, 2022, the Clinical Trials Regulation (EU) No 536/2014 became applicable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European Union Member State will only be required to submit a single application for approval. The submission will be made through the Clinical Trials Information System, a new clinical trials portal overseen by the EMA, and available to clinical trial sponsors, competent authorities of the European Union Member States and the public. We have not previously secured authorization to conduct clinical studies in the European Union pursuant to this new regulation and, accordingly, there is a risk that we may be delayed in commencing such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reviews an application to determine whether there is “substantial evidence” to support a finding of effectiveness for the proposed product for its intended use(s). The FDA has interpreted this evidentiary standard to generally require two adequate and well-controlled clinical trials to establish effectiveness of a new product. In February 2026, the Commissioner of the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FDA has exercised that authority with respect to certain types of products. The FDA now takes the position that this will be the new official default standard for most product candidates. At this point, it is unclear how this new policy will be implemented by the FDA and how, if at all, it will affect our clinical development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other regulatory authorities may determine that (1) our product candidates are not safe and effective, are only moderately effective or have undesirable or unintended side effects, toxicities or other characteristics that preclude us obtaining marketing approval or prevent or limit commercial use; (2) the dose used in a clinical trial has not been optimized and require us to conduct additional dose optimization studies; or (3) the comparator arm in a trial is no longer the appropriate comparator due to the evolution of the competitive landscape or subsequent data of the comparator product, even if the FDA or other regulatory authority had previously approved the trial design, and we may be required to amend the trial or we may not receive approval of the indication.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Pediatric Research Equity Act, a Biologics License Application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product candidates for which we are seeking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we could be adversely affected by several significant administrative law cases decided by the United States Supreme Court in 2024. In </w:t>
      </w:r>
      <w:r>
        <w:rPr>
          <w:rFonts w:ascii="Times New Roman" w:hAnsi="Times New Roman"/>
          <w:i/>
          <w:color w:val="000000"/>
          <w:sz w:val="20"/>
        </w:rPr>
        <w:t>Loper Bright Enterprises v. Raimondo</w:t>
      </w:r>
      <w:r>
        <w:rPr>
          <w:rFonts w:ascii="Times New Roman" w:hAnsi="Times New Roman"/>
          <w:color w:val="000000"/>
          <w:sz w:val="20"/>
        </w:rPr>
        <w:t xml:space="preserve">, for example, the court overruled </w:t>
      </w:r>
      <w:r>
        <w:rPr>
          <w:rFonts w:ascii="Times New Roman" w:hAnsi="Times New Roman"/>
          <w:i/>
          <w:color w:val="000000"/>
          <w:sz w:val="20"/>
        </w:rPr>
        <w:t>Chevron U.S.A., Inc. v. Natural Resources Defense Council, Inc</w:t>
      </w:r>
      <w:r>
        <w:rPr>
          <w:rFonts w:ascii="Times New Roman" w:hAnsi="Times New Roman"/>
          <w:color w:val="000000"/>
          <w:sz w:val="20"/>
        </w:rPr>
        <w:t xml:space="preserve">., which for 40 years required federal courts to defer to permissible agency interpretations of statutes that are silent or ambiguous on a particular topic. The United States Supreme Court stripped federal agencies of this presumptive deference and held that courts must exercise their independent judgment when deciding whether an agency such as the FDA acted within its statutory authority under the APA. Additionally, in </w:t>
      </w:r>
      <w:r>
        <w:rPr>
          <w:rFonts w:ascii="Times New Roman" w:hAnsi="Times New Roman"/>
          <w:i/>
          <w:color w:val="000000"/>
          <w:sz w:val="20"/>
        </w:rPr>
        <w:t>Corner Post, Inc. v. Board of Governors of the Federal Reserve System</w:t>
      </w:r>
      <w:r>
        <w:rPr>
          <w:rFonts w:ascii="Times New Roman" w:hAnsi="Times New Roman"/>
          <w:color w:val="000000"/>
          <w:sz w:val="20"/>
        </w:rPr>
        <w:t xml:space="preserve">,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hAnsi="Times New Roman"/>
          <w:i/>
          <w:color w:val="000000"/>
          <w:sz w:val="20"/>
        </w:rPr>
        <w:t>Securities and Exchange Commission v. Jarkesy</w:t>
      </w:r>
      <w:r>
        <w:rPr>
          <w:rFonts w:ascii="Times New Roman" w:hAnsi="Times New Roman"/>
          <w:color w:val="000000"/>
          <w:sz w:val="20"/>
        </w:rPr>
        <w:t xml:space="preserve">, overturned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agencies’ ability to impose civil penalties in administrative proceedings. These decisions could introduce additional uncertainty into the regulatory process and may result in additional legal challenges to actions taken by federal regulatory agencies, including the FDA and the Centers for Medicare &amp; Medicaid Services (“CMS”) that we rely on. In addition to potential changes to regulations as a result of legal challenges, these decisions may result in increased regulatory uncertainty and delays and other impacts, any of which could adversely impact our business and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Finally, our ability to develop and market new products may be impacted if litigation challenging the FDA’s approval of mifepristone continues. In April 2023, the U.S. District Court for the Northern District of Texas invalidated the approval by the FDA of mifepristone, a drug product which was originally approved in 2000 and whose distribution is governed by various measures adopted under a Risk Evaluation and Mitigation Strategy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filed an amended complaint in the district court in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the federal district court in the Eastern District of Missouri. Depending on the outcome of this litigation, our ability to develop new drug product candidates and to maintain approval of existing drug products could be delayed, undermined or subject to protracted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approval of our product candidates for commercial sale could also be delayed, limited or denied or we may be required to conduct additional studies for a number of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determine that our product candidates do not demonstrate safety and effectiveness in accordance with regulatory agency standards based on a number of considerations, including adverse events that are reported during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could analyze and/or interpret data from clinical trials and preclinical testing in different ways than we interpret them and determine that our data is insufficient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more information, including additional preclinical or clinical data or the conduct of new trials, to support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could determine that our manufacturing processes are not properly designed, are not conducted in accordance with federal or other laws or otherwise not properly managed, and we may be unable to obtain regulatory approval for a commercially viable manufacturing process for our product candidates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for our clinical trials may be insufficient, inadequate or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to establish the efficacy of our product candidates to the satisfaction of regulatory agencies may be larger than we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clinical sites, and the records kept at the respective locations, including records containing clinical trial data, to be in compliance with the FDA’s GCP, requirements or comparable regulations outside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change their approval policies or adopt new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not be able to undertake reviews of our marketing applications, conduct applicable inspections or proceed through their approval processes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earlier clinical trials may not be representative of our future, larger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not agree with our regulatory approval strategies or components of our regulatory filings, such as the design or implementation of the relevant clinical trials;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may not be approved for the indications that we request or may be limited or subject to restrictions or post-approval commitments that render the approved product not commercially viable.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we may not be able to submit applications for marketing approvals/authorizations and may not receive necessary approvals to commercialize our products in any market. Any failure, delay or setback in obtaining regulatory approval for our product candidates could materially adversely affect our ability to generate revenue from a particular product candidate, which could result in significant harm to our financial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obtain marketing approval in foreign jurisdictions would prevent our medicines from being marketed in such jurisdictions and any of its medicines that are approved for marketing in such jurisdiction will be subject to risk associated with foreign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our medicines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or our collaborators may not obtain approvals from regulatory authorities outside the United States on a timely basis, if at all. Moreover, approval by the FDA does not ensure approval by regulatory authorities in other countries or jurisdictions, and approval by one regulatory authority outside the United States does not ensure approval by regulatory authorities in other countries or jurisdictions or by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(the “MHRA”), is responsible for approving all medicinal products destined for the United Kingdom market (i.e., Great Britain and Northern Ireland). On April 28, 2025, the United Kingdom Parliament adopted amendments to improve and strengthen the United Kingdom’s clinical trials regulatory regime; they took effect on April 28, 2026. These changes were needed since the current United Kingdom requirements are based upon the now-repealed EU Clinical Trials Directive (2001/20/EC), which has been replaced by the European Clinical Trials Regulation (Regulation EU No 536/2014). In anticipation of these new requirements, on October 1, 2025, the MHRA updated its guidance for clinical trials to address, among other things, research transparency requirements for clinical trials, the approvals process, the Research Ethics Committee review of clinical trials, simplified arrangements for consent in clinical trials and pharmacovigilance. Since the United Kingdom left the European Union prior to the date on which the EU Clinical Trials Regulation took effect, the United Kingdom’s legal framework did not benefit from the same revisions as occurred at European Union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same time, a new international recognition procedure (“IRP”) will apply, which intends to facilitate approval of pharmaceutical products in the United Kingdom. The IRP is open to applicants that have already received an authorization for the same product from one of the MHRA’s specified Reference Regulators (“RRs”). The RRs notably include EMA and regulators in the EU/European Economic Area (“EEA”) member states for approvals in the European Union centralized procedure and mutual recognition procedure as well as the FDA (for product approvals granted in the United States).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European Union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December 11, 2025, the European Parliament and European Council reached a provisional political agreement on the legislation which is expected to be adopted by mid-2026. Key changes include updating regulatory exclusivity to a new system with eight years of data exclusivity and a reduced market exclusivity period to one year, which can be extended if specific conditions are fulfilled up to a maximum of 11 years. This measure, and others, are expected to be adopted by the fall of 2026 and, following a transition period of 24 months, will likely take effect in mid-2028.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 In addition, we do not have experience commercializing products outside of the United States and such efforts may depend on our ability to find a suitable collaborator.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Any of our product candidates for which we obtain marketing approval in the future may be subject to post-marketing regulatory requirements and could be subject to post-marketing restrictions or withdrawal from the market, and we may be subject to substantial penalties if we fail to comply with regulatory requirements or if we experience unanticipated problems with our products following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marketing approval has been granted, an approved product and its manufacturer and marketer are subject to ongoing review and extensive regulation. Any of our product candidates for which we obtain marketing clearance or approval in the future, as well as the manufacturing processes, post-approval studies and measures, labeling, advertising and promotional activities for such products, among other things, will be subject to continual requirements of and review by the FDA and other United States and foreign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and related compliance requirements such as price reporting, transparency reporting and requirements regarding the distribution of samples to physicians and recordkeeping. Even if marketing authorization is granted, it may be subject to limitations on the indicated uses for which the product may be marketed or to the conditions of approval, including in the case of biological products, the requirement to implement a REMS, which could include requirements for a restricted distribution system.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comparable foreign regulatory authorities may also impose requirements for costly post-marketing studies or clinical trials and surveillance to monitor the safety or efficacy of a biological product. There are similar potential requirements for medical devices. In addition, manufacturers of approved products and those manufacturers’ facilities are required to comply with extensive requirements by the FDA and comparable foreign regulatory authorities, including ensuring that quality control and manufacturing procedures conform to cGMP regulations, which include requirements relating to quality control and quality assurance as well as the corresponding maintenance of records and documentation and reporting requirements. We and our contract manufacturers could be subject to periodic unannounced inspections by the FDA or foreign regulatory authorities to monitor and ensure compliance with cGMPs (and similar foreign requirements) or other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change the way a product is distributed, conduct additional clinical trials, change the labeling of a product or require us to conduct additional post-marketing studies or surveillance;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 our ability to conduct clinical trials, including full or partial clinical holds on ongoing or planned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additional warnings on the product label,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injunctions or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implement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totally or partially suspend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operations, including costly new manufacturing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its products. If regulatory sanctions are applied or if regulatory approval is withdrawn, our business will be seriously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Assuming we receive marketing approval for one or more of our product candidates, we and our contract manufacturers will continue to expend time, money and effort in all areas of regulatory compliance, including manufacturing, production, product surveillance and quality control. If we are not able to comply with post-approval regulatory requirements, our ability to market any future products could be limited, which could adversely affect our ability to sustain profitability. Further, the cost of compliance with post-approval regulations may have a negative effect on our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 If we are found or alleged to have improperly promoted off-label uses, it may become subject to significant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other United States or foreign agencies, including the Department of Justice, closely regulate and monitor the post-approval marketing and promotion of biological products to ensure that they are manufactured, marketed and distributed only for the approved indications and in accordance with the provisions of the approved labeling. The FDA imposes stringent restrictions on manufacturers’ communications regarding off-label use, and if we communicate about any of our product candidates for which we receive marketing approval in a way that regulators assert goes beyond their approved indications, we may be subject to warnings or enforcement action for off-label marketing. Alleged violations of the Federal Food, Drug and Cosmetic Act or other statutes, including the False Claims Act (the “FCA”), relating to the promotion and advertising of prescription products may lead to investigations or allegations of violations of federal and state health care fraud and abuse laws and state consumer protection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on September 9, 2025, President Trump issued a Memorandum directing the United States Department of Health and Human Services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issued a generic “notice letter” to a substantial number of companies directing such companies to “remove any noncompliant advertising and bring all promotional communications into compliance.” When and if our product candidates are approved, we will need to maintain a robust compliance program and processes designed to ensure that all such advertising activities are performed in a legal and compliant manner and anticipate rule changes at the FDA and possibly other agencies.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2021, the FDA published final regulations which describe the types of evidence that the agency will consider in determining the intended use of a biologic.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government has also required companies to enter into consent decrees or permanent injunctions under which specified promotional conduct is changed or curtailed. If we cannot successfully manage the promotion of our products and any product candidates, if approved, we could become subject to significant liability, which would materially adversely affect our business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some relatively recent guidance from the FDA and the Pre-Approval Information Exchange Act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If approved, our product candidates that are licensed and regulated as biologics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(the “BPCIA”) was enacted as part of the Patient Protection and the Affordable Care Act, as amended by the Health Care and Education Affordability Reconciliation Act Health Information Technology for Economic and Clinical Health Act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licensure of a competing biologic, so long as its BLA does not rely on the reference product, sponsor’s data or submit the application as a biosimilar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the product candidates it develops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biosimilar competition sooner than anticipated.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 In March 2026, the FDA issued another draft guidance with additional recommendations that soften the requirements for licensure of biosimilars.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would have a material adverse impact on our business due to increased competition and pricing pressure.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professionals, including but not limited to physicians, nurses, medical directors, hospitals, pharmacies, pharmacy benefit managers, group purchasing organizations, wholesalers, insurers, and all individuals employed by such entities, which we refer to collectively as HCPs, may influence the recommendation and prescription of our approved products. Our arrangements with HCPs and others who have the ability to improperly influence the recommendation and prescription of its products may expose us to broadly applicable fraud and abuse and other healthcare laws and regulations that may constrain the business or financial arrangements and relationships through which we market, sell and distribute our approved products. Restrictions under applicable federal, state and foreign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arranging for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FCA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 In addition, the government may assert that a claim including items or services resulting from a violation of the federal Anti- Kickback Statute constitutes a false or fraudulent claim for purposes of the FCA;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false statements statute, which prohibits knowingly and willfully falsifying, concealing or covering up a material fact or making any materially false statement in connection with the delivery of or payment for healthcare benefits, items or service.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federal Physician Payment Sunshine Act, which requires manufacturers of drugs, devices, biologics and medical supplies to report to HHS information related to payments and other transfers of value to physicians (as defined by statute), other healthcare providers and teaching hospitals and ownership and investment interests held by physicians and their immediate family members and applicable group purchasing organizations;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and certain state laws that require pharmaceutical companies to comply with the pharmaceutical industry’s voluntary compliance guidelines and the relevant compliance guidance promulgated by the federal government in addition to requiring product manufacturers to report information related to payments to physicians and other healthcare providers or marketing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its operations, any of which could adversely affect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regulatory agencies in foreign jurisdictions, such as the EMA and the Committee for Medicinal Products for Human Use (“CHMP”), play a vital role in the development of our product candidates by providing guidance on our clinical development programs and reviewing and approving our regulatory submissions, including INDs, requests for special designations and marketing applications. If these oversight and review activities are disrupted or delayed, then correspondingly our ability to develop and secure timely approval of our product candidates could be impacted in a negative manner.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example, the loss and retirement of FDA leadership and personnel could lead to disruptions and delays in FDA guidance, review and approval of our product candidate. Pursuant to President Trump's E.O. 14210, “Implementing the President’s ‘Department of Government Efficiency’ Workforce Optimization Initiative,” the Secretary of HHS announced on March 27, 2025, a reorganization and reduction in force across the Department of approximately 20,000 employees (82,000 to 62,000), with FDA’s workforce of approximately 20,000 to decrease by 3,500 full-time employees. Subsequently, the FDA indicated that roughly a quarter of those employees who received RIF notices had been reinstated. On July 14, 2025, following litigation reaching the U.S. Supreme Court, the administration began to carry out these layoffs across HHS, including the FDA. In November 2025, a Congressional Continuing Resolution ended the government shutdown, providing full-year funding of the FDA through the 2026 federal fiscal year at approximately $7 billion with a slight increase in user fees for drug and device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While the FDA’s review of marketing applications and other activities for new drugs and biologics is largely funded through the user fee program established under the Prescription Drug User Fee Act (“PDUFA”), it remains unclear how the administration’s FDA reduction in force and budget cuts will impact this program and the ability of the FDA to provide guidance and review our product candidate in a timely manner. For example, while the FDA reduction in force did not reportedly specifically target FDA reviewers, many operations, administrative and policy staff that help support such reviews were affected and those losses could lead to delays in PDUFA reviews and related activities. There have been several reports in which the FDA failed to meet a PDUFA goal date for approval of an NDA or BLA due to heavy workload and limited resources. In addition, while currently unclear, there is a risk that the FDA reduction in 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government funding of the SEC and other government agencies on which our operations may rely, including those that fund research and development activities, is subject to the political process, which is inherently fluid and unpredictable. During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 </w:t>
      </w:r>
    </w:p>
    <w:p>
      <w:pPr>
        <w:pStyle w:val="TextBody"/>
        <w:bidi w:val="0"/>
        <w:jc w:val="left"/>
        <w:rPr>
          <w:rFonts w:ascii="Times New Roman" w:hAnsi="Times New Roman"/>
          <w:color w:val="000000"/>
          <w:sz w:val="20"/>
        </w:rPr>
      </w:pPr>
      <w:r>
        <w:rPr>
          <w:rFonts w:ascii="Times New Roman" w:hAnsi="Times New Roman"/>
          <w:color w:val="000000"/>
          <w:sz w:val="20"/>
        </w:rPr>
        <w:t>For example, the federal government shut down on October 1, 2025, and reopened on November 13, 2025. At the outset of that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does not have legal authority to accept user fees assessed for fiscal year 2026 until a fiscal year 2026 appropriation or Continuing Resolution for the FDA is enacted. As a result, during the government shutdown, the FDA did not accept any regulatory submissions for fiscal year 2026 that require a fee payment. In addition, the FDA indicated that some of its regulatory science research, crucial for advancing product innovation, safety, and quality, would be curtailed during the lapse period.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if any of the foregoing developments and others impact the ability of the FDA to provide us with guidance regarding our clinical development programs or delay the agency’s review and processing of our regulatory submissions, including INDs, New Drug Applications and BLAs, our business would be negatively impacted. Further, any future government shutdown could impact our ability to access the public markets and obtain necessary capital in order to properly capitalize and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enacted and future legislation may increase the difficulty and cost for us to commercialize our product candidates, if approved,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among other things, restrict or regulate post-approval activities and affect our ability to profitably sell or commercialize any product candidate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2010, the ACA was enacted.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pricing program; increased the statutory minimum rebates a manufacturer must pay under the Medicaid Rebate Program; established a new Patient-Centered Outcomes Research Institute to oversee, identify priorities in, and conduct comparative clinical effectiveness research, along with funding for such research; and established a Center for Medicare &amp; Medicaid Innovation at the CMS, an agency within HHS, to test innovative payment and service delivery models to lower Medicare and Medicaid spending.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enactment, there have been executive, judicial, and Congressional challenges to certain aspects of the ACA. On June 17, 2021, the United States Supreme Court dismissed the most recent judicial challenge to the ACA brought by several states without specifically ruling on the constitutionality of the ACA. Litigation and legislation over the ACA are likely to continue, with unpredictable and uncertain results. During the first Trump Administration, the Congress and administration sought to overturn the ACA and related measures. Shortly after taking office in January 2025, President Trump revoked numerous executive orders issued by President Biden, including at least two executive orders (e.g., EO 14009, Strengthening Medicaid and the Affordable Care Act, and EO 14070, Continuing to Strengthen Americans’ Access to Affordable, Quality Health Coverage) where were designed to further implement the ACA. We anticipate similar efforts to undermine the ACA, and the accompanying uncertainty, for the foreseeable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US$1.2 trillion for the years 2013 through 2021, was unable to reach required goals, thereby triggering the legislation’s automatic reduction to several government programs. These changes included aggregate reductions to Medicare payments to providers, which went into effect in April 2013 and will remain in effect through 2032. The American Taxpayer Relief Act of 2012, among other things, reduced Medicare payments to several providers and increased the statute of limitations period for the government to recover overpayments to providers from three to five years. Further, with the passage of the Inflation Reduction Act (the “IRA”) in August 2022, Congress extended the expansion of ACA premium tax credits through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and other laws may result in additional reductions in Medicare and other healthcare funding and otherwise affect the prices we may obtain for any of our products or product candidates for which we may obtain regulatory approval or the frequency with which any such product is prescribed or used. For example, on March 11, 2021, the American Rescue Plan Act of 2021 was signed into law, which eliminates the statutory cap on the Medicaid drug rebate, beginning January 1, 2024. The rebate was previously capped at 100% of a product’s average manufacturer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European Union,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European Union Member States in assessing health technologies, including new medicinal products as well as certain high-risk medical devices, and provide the basis for cooperation at the European Union level for joint clinical assessments in these areas. It will permit European Union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identify promising technologies early, and continuing voluntary cooperation in other areas. Individual European Union Member States will continue to be responsible for assessing non-clinical (e.g., economic, social, ethical) aspects of health technology, and making decisions on pricing and reimbursement.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these healthcare reforms, as well as other healthcare reform measures that may be adopted in the future, may result in additional reductions in Medicare and other healthcare funding, more rigorous coverage criteria and new payment methodologies that govern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for which we may obtain marketing approval and may affect our overall financial condition and ability to develop or commercialize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Product candidates, if approved, may become subject to unfavorable pricing regulations, third-party coverage and reimbursement practices, or healthcare reform initiatives, which would harm our business. Failure to obtain or maintain coverage and adequate reimbursement for any product candidates for which we obtain approval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coverage, and reimbursement for new drugs and other medical products vary widely from country to country. In the United States, healthcare reform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products or product candidates, even if any product candidates we may develop obtain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successfully commercialize our products and product candidates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product candidates that we may identify will depend substantially, both domestically and abroad, on the extent to which the costs of our products and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or product candidates. Even if coverage is provided, the approved reimbursement amount may not be high enough to allow us to establish or maintain pricing sufficient to realize a sufficient return on our investment. A primary trend in the United States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products and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payer to payer. As a result, the coverage determination process is often a time consuming and costly process that may require us to provide scientific and clinical support for the use of our products to each payer separately, with no assurance that coverage and adequate reimbursement will be applied consistently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obtained in the first instance. It is difficult to predict what CMS will decide with respect to reimbursement for fundamentally novel products such as ours, as there is no body of established practices and precedents for these new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Reimbursement agencies in Europe may be more conservative than CMS. For example, a number of cancer products have been approved for reimbursement in the United States and have not been approved for reimbursement in certain European countries. Moreover, eligibility for reimbursement does not imply that any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profitable reimbursement rates from third-party payors for any approved products that we develop could have a material adverse effect on our operating results, our ability to raise capital needed to commercialize products and our overall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Increasingly, third-party payors are requiring that pharmaceutical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or product candidate for which we obtain marketing approval. In order to obtain reimbursement, physicians may need to show that patients have superior treatment outcomes with our products compared to standard-of-care products, including lower-priced generic versions of standard-of-care products.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products and surgical procedures and other treatments, has become very intense. As a result, increasingly high barriers are being erected to the entry of new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prices of prescription pharmaceuticals in the United States and foreign jurisdictions are subject to considerable legislative and executive actions and could impact the prices we obtain for our products, if and when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prices of prescription pharmaceuticals have also been the subject of considerable discussion in the United States. There have been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October 2020, HHS and the FDA published a final rule allowing states and other entities to develop a Section 804 Importation Program (“SIP”) to import certain prescription products from Canada into the United States. That regulation was challenged in a lawsuit by the Pharmaceutical Research and Manufacturers of America (“PhRMA”) but the case was dismissed by a federal district court in February 2023 after the court found that PhRMA did not have standing to sue HHS. A number of states have submitted SIP proposals to the FDA with the goal of obtaining authority to import drugs from Canada, subject to conditions. On January 5, 2024, the FDA approved Florida’s plan for Canadian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SIP proposal. The intent of these meetings is to assist states in developing their proposals by further clarifying requirements, enhancing the quality of proposals submitted to the agency and ultimately shortening the review timeline.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rebates and create new safe harbors for beneficiary point-of-sale discounts and pharmacy benefit manager service fees. It was originally set to go into effect on January 1, 2022, but with passage of the IRA, has been delayed by Congress to January 1, 2032.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16, 2022, the IRA was enacted. The new legislation has implications for Medicare Part D, which is a program available to individuals who are entitled to Medicare Part A or enrolled in Medicare Part B to give them the option of paying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monthly premium for outpatient prescription product coverage. The IRA also, among other things, extends enhanced subsidies for individuals purchasing health insurance coverage in ACA marketplaces through plan year 2025. Further, the IRA also eliminates the “donut hole” under the Medicare Part D program beginning in 2025 by significantly lowering the beneficiary maximum out-of-pocket cost and through a newly established manufacturer discount program. It is unclear how any additional challenges or future healthcare reform measures will impact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other things, the IRA requires manufacturers of certain products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HHS to implement many of these provisions through guidance, as opposed to regulation, for the initial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products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With passage of the One Big Beautiful Bill Act (“OBBBA”) in July 2025, Congress expanded the exemption from this provision to drugs and biologics with multiple orphan drug designations.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 effective on January 1, 2027. On January 27, 2026, CMS published the list of 15 drugs selected for the third cycle of negotiations. These negotiated prices will become effective on January 1,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US$4,000 a year in 2024 and, thereafter beginning in 2025, at US$2,000 a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Every court that has thus far considered substantive challenges to the Medicare drug price negotiation program has ruled against the pharmaceutical industry, dismissing both constitutional and statutory arguments. For example, on May 8, 2025, the U.S. Court of Appeals for the Third Circuit rejected AstraZeneca L.P.’s challenge to the Medicare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 We expect that litigation involving these and other provisions of the IRA will continue, with unpredictable and uncertain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adoption of the IRA, the Trump Administration has taken a number of actions to reduce the costs of pharmaceutical products.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Executive Order directs the Secretary of HHS to communicate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Thereafter, on July 31, 2025, President Trump issued letters to 17 pharmaceutical companies reiterating the requirements of the May 12, 2025, Executive Order and demanding that such companies extend MFN pricing to Medicaid patients. Virtually all of these pharmaceutical companies entered into agreements with the Trump Administration to provide for lower prices on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pharmaceuticals. On February 5, 2026, President Trump launched TrumpRx.gov, a website that directs individuals to pharmaceutical manufacturer websites that are offering price discounts based on the administration’s pricing agreements with pharmaceutical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Separately, 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(GLOBE) Model for Medicare Part B drugs, and the Guarding U.S. Medicare Against Rising Drug Costs for Medicare Part D drugs.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These pilot programs are proposed to go into effect beginning October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product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especially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Finally, outside of the United States, in some countries, including those of the European Union, the pricing of prescription pharmaceuticals is subject to governmental control and access. In these countries, official list price country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to other available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measures, as well as others adopted in the future, may result in additional downward pressure on the price that we receive for any approved product it or its collaborators might bring to market.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United Kingdom and other countries in which we may conduct business.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numerous United States federal and state laws and regulations related to the privacy and security of personal information. In particular, regulations promulgated pursuant to the Health Insurance Portability and Accountability Act (“HIPAA”), as amended by the Health Information Technology for Economic and Clinical Health Act establish privacy and security standards that limit the use and disclosure of individually identifiable health information, or protected health information, and require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properly protect the privacy and security of protected health information, we could be found to have breached its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its operations in the future.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General Data Protection Regulation 2016/679 (“EU GDPR”) (regarding individuals in the EEA) and, the UK General Data Protection Regulation (“UK GDPR”) (regarding individuals in the United Kingdom (“UK”)), as well as applicable data protection laws in effect in the Member States of the EEA and in the UK (including the UK Data Protection Act 2018),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EU and UK data protection regimes are independent of each other but remain largely aligned. When we refer to “GDPR”, in this report, we are referring to both the EU GDPR and the UK GDPR, unless specified otherwise, and applies to any company established in the EEA/UK and to companies established outside the EEA/UK that process personal data in connection with the offering of goods or services to data subjects in the EEA/UK or the monitoring of the behavior of data subjects in the EEA/UK. The CCPA also affords California residents the right to opt-out of the “sale” of their personal information. The CCPA contains significant penalties for companies that violate its requirements. In November 2020, California voters passed a ballot initiative for the California Privacy Rights Act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that will go into effect in 2026 and beyond. Congress has also considered passing a federal privacy law. In addition, other states have passed “consumer health” laws that may apply to some of our business activities. These laws may impact our business activities, including our identification of research subjects, relationships with business partners and ultimately the marketing and distribution of our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also face litigation risk arising from our data collection and processing practices. For example, plaintiffs’ lawyers are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we or our partners’ or service providers’ privacy or data security measures fail to comply with the GDPR requirements, we may be subject to litigation, regulatory investigations, enforcement notices requiring it to change the way we use personal data and/or fines of up to 20 million Euros or up to 4% of the total worldwide annual turnover of the preceding financial year, whichever is higher,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claims by affected individuals, negative publicity, reputational harm and a potential loss of business and goodwill. The regulation also imposes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including the right to access, correct and delete their data. Such requirements may be subject to change in the future as the European Commission considers amendments to the GDPR. In addition, in 2025, the UK’s Data (Use and Access) Act 2025 (the “DUAA”), was approved, implementing various measures concerning data usage in the UK and reforming data protection laws. Certain provisions of the DUAA became effective in 2026, while others are expected to take effect at a later time. It remains too soon to tell how the DUAA will have an impact on our international activities.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GDPR places restrictions on the cross-border transfer of personal data from the European Union to countries that have not been found by the European Commission to offer adequate data protection legislation, such as the United States. There are ongoing concerns about the ability of companies to transfer personal data from the European Union to other countries. In July 2020, the Court of Justice of the European Union (the “CJEU”) invalidated the EU-U.S. Privacy Shield,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 This CJEU decision may lead to increased scrutiny on data transfers from the EEA to the United States generally and increase our costs of compliance with data privacy legislation as well as its costs of negotiating appropriate privacy and security agreements with its vendors and business partners.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2022, President Biden signed an executive order to implement the EU-U.S. Data Privacy Framework, which serves as a replacement to the EU-U.S. Privacy Shield. The European Union initiated the process to adopt an adequacy decision for the EU-U.S. Data Privacy Framework in December 2022, and the European Commission adopted the adequacy decision on July 10, 2023. The adequacy decision permits United States companies who self-certify to the EU-U.S. Data Privacy Framework to rely on it as a valid data transfer mechanism for data transfers from the European Union to the United States. This framework relies heavily on the independence of the Federal Trade Commission (“FTC”), but that foundation is now in question following a recent US Supreme Court decision, </w:t>
      </w:r>
      <w:r>
        <w:rPr>
          <w:rFonts w:ascii="Times New Roman" w:hAnsi="Times New Roman"/>
          <w:i/>
          <w:color w:val="000000"/>
          <w:sz w:val="20"/>
        </w:rPr>
        <w:t>Trump v. Slaughter</w:t>
      </w:r>
      <w:r>
        <w:rPr>
          <w:rFonts w:ascii="Times New Roman" w:hAnsi="Times New Roman"/>
          <w:color w:val="000000"/>
          <w:sz w:val="20"/>
        </w:rPr>
        <w:t>, allowing the president to fire FTC commissioners at will. The uncertainty around this issue has the potential to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withdrawal of the United Kingdom from the European Union, the United Kingdom Data Protection Act 2018 applies to the processing of personal data that takes place in the United Kingdom and includes parallel obligations to those set forth by GDPR. In relation to data transfers, both the United Kingdom and the European Union have determined, through separate “adequacy” decisions, that data transfers between the two jurisdictions are in compliance with the U.K. Data Protection Act and the GDPR, respectively. The United Kingdom and the United States have also agreed to a U.S.-U.K. “Data Bridge,” which functions similarly to the EU-U.S. Data Privacy Framework and provides an additional legal mechanism for companies to transfer data from the United Kingdom to the United States. In addition to the United Kingdom,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provisions in certain international laws restricting the transfer of personal information to the United</w:t>
      </w:r>
    </w:p>
    <w:p>
      <w:pPr>
        <w:pStyle w:val="TextBody"/>
        <w:bidi w:val="0"/>
        <w:jc w:val="left"/>
        <w:rPr>
          <w:rFonts w:ascii="Times New Roman" w:hAnsi="Times New Roman"/>
          <w:color w:val="000000"/>
          <w:sz w:val="20"/>
        </w:rPr>
      </w:pPr>
      <w:r>
        <w:rPr>
          <w:rFonts w:ascii="Times New Roman" w:hAnsi="Times New Roman"/>
          <w:color w:val="000000"/>
          <w:sz w:val="20"/>
        </w:rPr>
        <w:t>States, a new U.S. law also restricts the transfer of certain kinds of personal data in certain situations outside of the United States to “countries of concern,” including but not limited to China. On April 8, 2025, the Department of Justice’s National Security Division implemented the Data Security Program Rule under Executive Order 14117 and the the International Emergency Economic Powers Act (the “IEEPA”). This rule establishes restrictions on certain data-related transactions involving U.S. persons and entities, particularly those that may result in access to U.S. government-related data or bulk sensitive personal data of U.S. persons by foreign adversaries or entities under their control. The rule effectively imposes export control-like restrictions on the transfer, sale, or sharing of sensitive data-including genomic, geolocation, biometric, health, financial, and other personal data-to or with entities in countries of concern, as well as entities and persons associated with those countries. It also imposes additional due diligence obligations on U.S. companies concerning personal data they collect, store, or transmit. Failure to comply with the Data Security Program Rule could result in civil or criminal penalties, reputational harm, and restrictions on our ability to engage in certain business activities. Compliance may require us to modify our data handling practices, implement new controls, or terminate existing relationships with certain foreign vendors, customers, or partners. These changes could increase our operational costs, limit our market opportunities, and adversely affect our financial performance. Additionally, the scope and interpretation of the rule may evolve, and future guidance or enforcement actions could impose further obligations or restrictions.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and uncertainty surrounding U.S. and international trade policy could have a material adverse impact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spring of 2025, the Trump Administration initiated a series of tariff-related actions against U.S. trading partners. On April 2, 2025, President Trump issued an Executive Order announcing a “baseline” reciprocal tariff of 10% on all U.S. trading partners effective April 5, 2025, and higher individualized reciprocal tariffs on 57 countries (with certain product exemptions for pharmaceutical-related products, among others). Then, on July 31, 2025, the United States administration issued an executive order detailing new reciprocal tariff rates for individual countries that took effect on August 7, 2025. The reciprocal tariffs were imposed pursuant to the the IEEPA.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2026, the U.S. Supreme Court held that the IEEPA, does not authorize the president to impose tariffs, invalidating both the “reciprocal” tariffs and certain country-specific tariffs previously imposed by executive orders. Following this decision, the U.S. Customs and Border Protection began refunding previously collected IEEPA duties through a phased administrative process, but the timing, scope and ultimate amount of any such refunds remain uncertain and subject to ongoing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President Trump subsequently invoked Section 122 of the Trade Act of 1974 to impose a 10% tariff, which could be raised to 15%, on nearly all foreign imports (the “Section 122 tariffs”). The Section 122 tariffs expired in July 2026. In addition, the U.S. Trade Representative has conducted two investigations under Section 301 of the Trade Act of 1974, which have resulted in additional tariffs (the “Section 301 tariffs”). In July 2026, in one such investigation, it imposed additional tariffs of 10% to 12.5% on products of 60 economies determined to have failed to impose and effectively enforce a prohibition on the importation of goods produced with forced labor. The second investigation into structural excess capacity and production in manufacturing sectors remains ongoing. In July 2026, President Trump also invoked Section 338 of the Trade Expansion Act of 1962 to impose a 50% tariff on certain Canadian imports, effective August 19, 2026 (the “Section 338 tariffs”). As was the case under the IEEPA tariffs, pharmaceuticals and pharmaceutical ingredients were among the products exempt from the Section 122 tariffs, the Section 301 tariffs related to forced labor, and the Section 338 tariffs.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Separately, in April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Then, on April 2, 2026, President Trump issued a Proclamation invoking Section 232 of the Trade Expansion Act of 1962 to impose tariffs on imports of patented pharmaceuticals, biologics, and associated ingredients into the United States (the “Section 232 tariffs”). The action affects pharmaceutical manufacturers, importers, and supply chain participants. Specifically, beginning for companies like ours that are not listed in the annexes to the Proclamation (i.e., those that have not concluded onshoring plans and MFN pharmaceutical pricing agreements with the U.S. government), beginning September 29, 2026, a 100% tariff will apply to pharmaceutical articles that are subject to a valid, unexpired U.S. patent and are listed in the FDA’s Approved Drug Products with Therapeutic Equivalence Evaluations or are listed in the FDA’s Lists of Licensed Biological Products. The 100% tariff also applies to active pharmaceutical ingredients and key starting materials for such articles. Preferential tariff rates are provided for imports of covered pharmaceuticals from Japan, the European Union, Korea, Switzerland, Lichtenstein and the UK. Certain categories of products are exempt from these tariffs, including, but not limited to, generic pharmaceuticals and biosimilars; specified U.S.-origin pharmaceutical products, active pharmaceutical ingredients and key starting materials; products classified in certain 10-digit tariff codes, listed in Annex IV of the Proclamation. Also likely to be exempt from the Section 232 tariffs are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countermeasures related to chemical, biological, radiological, and nuclear threats; animal health; and other specialty pharmaceutical products to be later identified by the Secretary of Commerce.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Managing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key executives and experienced scientists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the research and development, clinical, financial, operational and other business expertise of our executive officers, as well as the other principal members of our management, scientific and clinical teams. Although we entered into employment agreements with certain of our executive officers, each of them may terminate their employment with us at any time. We do not maintain “key person” insurance for any of its executives or other employees. Recruiting and retaining qualified scientific, clinical, manufacturing, accounting, legal and sales and marketing personnel is also critical to our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loss of the services of our executive officers or other key employees, including temporary loss due to illness,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biopharmaceutical companies for similar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Failure to succeed in clinical trials may make it even more challenging to recruit and retain qualified scientific personnel. Our success as a public company also depends on implementing and maintaining internal controls and the accuracy and timeliness of its financial reporting. If we are unable to continue to attract and retain high quality personnel, our ability to pursue its growth strategy will be limited.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expand our development and regulatory capabilities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experience significant growth in the number of our employees and the scope of our operations, particularly as we function as a public company and in the areas of product development, clinical, regulatory affairs, manufacturing and quality control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Future growth will impose significant added responsibilities on members of our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regulatory review process for TH103 and other product candidates we may develop, while complying with our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improving our operational, financial and management controls, reporting systems and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advance development of and, if approved, commercialize TH103 and any other product candidate we are developing or may develop in the future will depend, in part, on our ability to effectively manage any future growth. Due to our limited financial resources and the limited experience of our management team in managing a company with such anticipated growth, we may not be able to effectively manage the expansion of our operations or recruit and train additional qualified personnel. If we do not effectively manage the expansion of our operations, we could experience weaknesses in our infrastructure, operational mistakes, loss of business opportunities, loss of employees and reduced productivity among remaining employees. The expansion of our operations could also lead to significant costs and may divert our management and business development resources. Any inability to manage growth could delay the execution of our business plans or disrupt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 biopharmaceutical companies that we compete against for qualified personnel and consultants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and consultants, the rate and success at which we can develop product candidates and operate our business will be limited.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of our collaborators, vendors, suppliers, contractors or consultants, may fail or suffer security breaches, which could result in a material disruption of our product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and those of any of our collaborators, vendors, suppliers,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any material system failure, accident, cyber-attack or security that causes interruptions in our operations, it could result in a material disruption of our development programs and our business operations, whether due to a loss of its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including principal investigators, consultants and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cause significant liability for us and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independent contractors, including principal investigators, consultants and vendors and any other third parties we engage. Misconduct by these parties could include intentional, reckless or negligent conduct or unauthorized activities that include failures to comply with FDA regulations or similar regulations of comparable foreign regulatory authorities, provide complete and accurate information to the FDA or comparable foreign regulatory authorities, comply with manufacturing standards, comply with federal and state data privacy, security, fraud and other healthcare fraud and abuse laws and regulations and similar laws and regulations established and enforced by comparable foreign regulatory authorities, report complete financial information or data accurately or disclose unauthorized activities to us. Misconduct by employees and other third parties could also involve the improper use of information obtained in the course of clinical trials, which could result in regulatory sanctions and serious harm to our reputation. This could include violations of HIPAA, other United States federal and state law, and requirements of non-United States jurisdictions, including the European Union Data Protection Directive.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United States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has been and is expected to continue to be volatile.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trading price of our common stock has been and is expected to continue to be highly volatile and could be subject to wide fluctuations in response to various factors, some of which are beyond our control, including limited trading volume. In addition to the factors discussed in this “</w:t>
      </w:r>
      <w:r>
        <w:rPr>
          <w:rFonts w:ascii="Times New Roman" w:hAnsi="Times New Roman"/>
          <w:i/>
          <w:color w:val="000000"/>
          <w:sz w:val="20"/>
        </w:rPr>
        <w:t>Risk Factors</w:t>
      </w:r>
      <w:r>
        <w:rPr>
          <w:rFonts w:ascii="Times New Roman" w:hAnsi="Times New Roman"/>
          <w:color w:val="000000"/>
          <w:sz w:val="20"/>
        </w:rPr>
        <w:t xml:space="preserve">” section,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 or those of our competitors or our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qualified scientific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biopharmaceutical sector;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or our stockholders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and continued development of our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product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the products and services of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such as those caused by the ongoing conflict between Russia and Ukraine, conflicts in the Middle East, inflation, fluctuations in interest rates and tariffs and other trade restrictions.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its intrinsic value. Activist campaigns that contest or conflict with our strategic direction or seek changes in the composition of our board of directors could have an adverse effect on our operating results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additional costs and increased demands upon management as a result of complying with the laws and regulations affecting public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as a public company that we did not incur as a private company. We are subject to the reporting requirements of the Securities Exchange Act of 1934, as amended (the “Exchange Act”), which requires, among other things, that we file with the SEC annual, quarterly, and current reports with respect to our business and financial condition. In addition, the Sarbanes-Oxley Act, the Dodd-Frank Act, the listing requirements of The Nasdaq Global Market and other applicable securities rules and regulations impose significant requirements on public companies, including requiring establishment and maintenance of effective disclosure and financial controls and changes in corporate governance practices.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and other personnel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in Rule 12b-2 under the Exchange Act. We would cease to be a smaller reporting company if we have a public float in excess of $250 million or have annual revenues in excess of $100 million and a public float in excess of $700 million, determined on an annual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smaller reporting company, we are permitted to and intend to rely on exemptions from disclosure requirements that are applicable to other public companies that are not smaller reporting companies,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disclosure obligations regarding executive compensation in our periodic reports and proxy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comply with the auditor attestation requirements of Section 404 of the Sarbanes-Oxley Act of 2002;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being permitted to provide only two years of audited financial statements in our annual report on Form 10-K, with correspondingly reduced “Management’s Discussion and Analysis of Financial Condition and Results of Operations” disclosure;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furnish a stock performance graph in our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contain provisions that could delay or prevent a change of control of us or changes in our board of directors that our stockholders might consider favorable. Some of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board of directors divided into three classes serving staggered three-year terms, such that not all members of the board will be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through written consent, which requires that all stockholder actions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that special meetings of stockholders be called only by the board of directors acting pursuant to a resolution approved by the affirmative vote of a majority of the directors then in office;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requirements for stockholder proposals and nominations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of approval of not less than two-thirds of all outstanding shares of our voting stock to amend any bylaws by stockholder action or to amend specific provisions of our certificate of incorporation;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authority of the board of directors to issue preferred stock on terms determined by the board of directors without stockholder approval and which preferred stock may include rights superior to the rights of the holders of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will be governed by the provisions of Section 203 of the Delaware General Corporate Law, which may prohibit certain business combinations with stockholders owning 15% or more of our outstanding voting stock. These antitakeover provisions and other provisions in our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us. These provisions could also discourage proxy contests and make it more difficult for stockholders to elect directors of their choosing or cause us to take other corporate actions they desire. Any delay or prevention of a change of control transaction or changes in our board of directors could cause the market price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bylaws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(the “Federal Forum Provision”). In addition, our amended and restated bylaws will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Delaware Forum Provision and the Federal Forum Provision that are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and our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paying any cash dividends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anticipate that we will retain our future earnings, if any, to fund the growth of our business as opposed to paying dividends. As a result, capital appreciation, if any, of our common stock will be your sole source of gain, if any, for the foreseeable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know whether an active, liquid and orderly trading market will develop for our common stock or what the market price of our common stock will be and, as a result, it may be difficult for our stockholders to sell shares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AlloVir’s IPO closed on August 3, 2020. Prior to AlloVir’s IPO, there was no public market for shares of its common stock. Prior to the Merger, there had been no public market for shares of Legacy Kalaris capital stock. Although AlloVir completed its IPO and the Merger has closed, and shares of our common stock are listed and trading on The Nasdaq Global Market, an active trading market for our shares may never develop or be sustained. Our stockholders may not be able to sell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possible disposal of certain of AlloVir’s historical assets and operations, the discontinuation of AlloVir’s product development programs and the Merger made AlloVir subject to the SEC requirements applicable to reporting shell company business combinations. As a result, we are subject to more stringent reporting requirements, offering limitations and resale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AlloVir discontinued the development of its product candidates and we may seek to dispose of certain of AlloVir’s historical assets and operations. As such, the Merger was subject to the SEC requirements applicable to reporting shell company business combinations, which are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required to file a Current Report on Form 8-K following the closing of the Merger to report the Form 10 type information with the SEC reflecting our status as an entity that is not a shell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not eligible to use a Form S-3 until 12 full calendar months after the date of the Current Report on Form 8-K following the closing of the Merger;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required to wait at least 60 calendar days after the date of the Current Report on Form 8-K following the closing of the Merger to file a Form S-8 for any equity plans or awards such as the 2020 Stock Option and Grant Plan, as amended (the “2020 Plan”) and the 2019 Equity Incentive Plan, as amended (the “2019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“ineligible issuer” for three years following the closing the Merger, which will prevent us from (i) incorporating by reference in our Form S-1 filings, (ii) use a free writing prospectus, or (iii) take advantage of the well-known seasoned issuer (WKSI) status despite our public float;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who (i) were affiliates of Legacy Kalaris at the time the Merger was submitted for the vote or consent of Legacy Kalaris’ stockholders, (ii) received securities of us in the Merger (i.e., Rule 145(c) securities) and (iii) publicly offer or sell such securities will be deemed to be engaged in a distribution of such securities, and therefore to be underwriters with respect to resales of those securities;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Rule 144(i)(2) limited the ability to publicly resell Rule 145(c) securities per Rule 145(d), as well as any other “restricted” or “control” securities of ours per Rule 144 (e.g., holders of restricted securities and any affiliates of the public company are also affected) until one year after the date that we filed the Current Report on Form 8-K following the closing of the Merger that includes the required Form 10 information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SEC requirements will increase our time and cost of raising capital, offering stock under equity plans, and compliance with securities laws. Further, such requirements will add burdensome restrictions on the resale of our shares by affiliates of Legacy Kalaris and any holders of “restricted” or “control”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and issuances of our common stock or rights to purchase common stock, including pursuant to the 2020 Plan or the 2019 Plan, could result in additional dilution of the percentage ownership of our stockholders and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significant additional capital may be needed in the future to continue our planned operations, including conducting clinical trials, expanded research and development activities, and costs associated with operating as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2020 Plan and the 2019 Plan, our management is authorized to grant stock options to our employees, directors, and consultants.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shares of common stock reserved for issuance under the 2020 Plan increased on January 1, 2026 and shall be cumulatively increased each January 1 thereafter by 5% of the total number of shares of our common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at a special meeting of our stockholders held on March 12, 2025, our stockholders approved an amendment to the 2020 Plan which increased the number of shares of our common stock reserved and available for future issuance under the 2020 Plan by a number of shares of common stock equal to five percent of the total number of shares of common stock that were issued and outstanding immediately following the closing of the Merger.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shares of our common stock by our existing stockholders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stockholders sell, or indicate an intention to sell, substantial amounts of our common stock in the public market, the trading price of our common stock could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our common stock may be freely sold in the public market at any time to the extent permitted by Rules 144 and 701 under the Securities Act, or to the extent such shares have already been registered under the Securities Act and are held by non-affiliates of ours. If our stockholders sell, or indicate an intention to sell, substantial amounts of our common stock in the public market, the trading price of our common stock could decline. 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 December 2025, we sold to certain institutional investors shares of our common stock and pre-funded warrants in our 2025 Private Placement. We have filed a registration statement on Form S-3 covering the resale of the common stock held by such investors in the 2025 Private Placement and the shares of common stock issuable upon the exercise of the pre-funded warrants issued in the 2025 Private Placement, and we have agreed to keep such registration statement effective until the date the shares covered by it have been sold or can be resold without restriction under Rule 144 of the Securities Act. The sale or resale of these shares in the public market, or the market’s expectation of such sales, may result in an immediate and substantial decline in our stock price. Such a decline will adversely affect our investors and also might make it difficult for us to sell equity securities in the future at a time and at a price that we deem appropriate.</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and principal stockholder, Samsara LP,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and principal stockholder, Samsara LP, together with Samsara LP’s affiliates, in the aggregate, beneficially owned approximately 65.6% of our outstanding shares of common stock as of June 30, 2026. As a result, if these stockholders were to choose to act together (or, in the case of Samsara LP and its affiliates alone), they would be able to control or significantly influence all matters submitted to our stockholders for approval, as well as our management and affairs. For example, these persons, if they choose to act together (or, in the case of Samsara LP and its affiliates alone), they would be able to control or significantly influence the election of directors and approval of any merger, consolidation or sale of all or substantially all of our assets. This concentration of voting power could delay or prevent an acquisition of us on terms that other stockholders may desire. In addition, as a result of this concentration of ownership, there may be a limited number of shares of our common stock that are not held by officers, directors and the principal stockholder, thereby adversely impacting the liquidity of our common stock and potentially depressing the price at which stockholders may be able to sell shares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Samsara LP, our principal stockholder, together with its affiliates, beneficially owns greater than 50% of our outstanding shares of capital stock, which has caused us to be deemed a “controlled company” under the rules of Nasdaq.</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Samsara LP, together with its affiliates, controlled approximately 54.2% of the voting power of our capital stock as of June 30, 2026. As a result, Samsara LP, together with its affiliates, owns more than 50% of our outstanding capital stock, and as such, we are a “controlled company” under the rules of Nasdaq. Under these rules, a company of which more than 50% of the voting power is held by an individual, a group or another company is a “controlled company” and, as such, can elect to be exempt from certain corporate governance requirements, including requirements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majority of the board of directors consist of independent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director nominations be made, or recommended to the full board of directors, by independent directors or by a nominating committee that is composed entirely of independent directors that has adopted a written charter addressing the nominations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be composed entirely of independent directors with a written charter addressing the committee’s purpose and responsibility.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certain of these exemptions. As a result, our stockholders will not have the same protections afforded to stockholders of companies that are subject to all of the Nasdaq corporate governance requirements.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our cash and cash equivalents. You will not have the opportunity to influence our decisions on how to use our cash resources.</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shares of our common stock, shares of our preferred stock or warrants to purchase shares of our stock, or grant any stock options, restricted stock units or restricted stock awards, during the period covered by this Quarterly Report that were not registered under the Securities Act of 1933, as amended and that have not otherwise been described in a Current Report on Form 8-K.</w:t>
      </w:r>
    </w:p>
    <w:p>
      <w:pPr>
        <w:pStyle w:val="TextBody"/>
        <w:bidi w:val="0"/>
        <w:spacing w:before="36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1" w:name="item_5_othe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Director and Officer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adopted or terminated a Rule 10b5-1 trading arrangement or a non-Rule 10b5-1 trading arrangement (as defined in Item 408(c) of Regulation S-K) during the quarter ended June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5"/>
        <w:gridCol w:w="146"/>
        <w:gridCol w:w="9304"/>
      </w:tblGrid>
      <w:tr>
        <w:trPr/>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4"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November 7, 2024, by and among the Registrant, Aurora Merger Sub, Inc. and Kalaris Tx, Inc. (formerly, Kalaris Therapeutics, Inc.) (incorporated by reference to Exhibit 2.1 to the Registrant’s Current Report on Form 8-K (File No. 001-39409) filed on November 8, 2024).</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the Registrant, dated March 18, 2025 (incorporated by reference to Exhibit 3.2 to the Registrant’s Current Report on Form 8-K (File No. 001-39409) filed on March 18, 2025).</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Registrant (incorporated by reference to Exhibit 3.3 to the Registrant’s Current Report on Form 8-K (File No. 001-39409) filed on March 18, 2025).</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Employment Agreement, dated July 7, 2026, between the Registrant and Liisa Bayko (incorporated by reference to Exhibit 10.1 to the Registrant’s Current Report on Form 8-K (File No. 001-39409) filed on July 20, 2026).</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lrs-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lrs-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lrs-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lrs-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annexes, schedules, and certain exhibits to the merger agreement have been omitted pursuant to Item 601(b)(2) of Regulation S-K. The Registrant hereby agrees to furnish supplementally a copy of any omitted annex, schedule or exhibit to the SEC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1951"/>
        <w:gridCol w:w="146"/>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Kalaris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Oxtoby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Oxtoby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4919" w:type="dxa"/>
        <w:jc w:val="left"/>
        <w:tblInd w:w="0" w:type="dxa"/>
        <w:tblLayout w:type="fixed"/>
        <w:tblCellMar>
          <w:top w:w="28" w:type="dxa"/>
          <w:left w:w="28" w:type="dxa"/>
          <w:bottom w:w="28" w:type="dxa"/>
          <w:right w:w="28" w:type="dxa"/>
        </w:tblCellMar>
      </w:tblPr>
      <w:tblGrid>
        <w:gridCol w:w="1951"/>
        <w:gridCol w:w="146"/>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Liisa Bayko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Liisa Bayko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bookmarkStart w:id="24" w:name="klrs-ex31_1.htm"/>
      <w:bookmarkStart w:id="25" w:name="ksklrs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Oxtoby,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Kalaris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Oxtoby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Oxtoby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klrs-ex31_2.htm"/>
      <w:bookmarkStart w:id="27" w:name="ksklrs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Liisa Bayko,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Kalaris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951"/>
        <w:gridCol w:w="109"/>
        <w:gridCol w:w="406"/>
        <w:gridCol w:w="253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Liisa Bayko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Liisa Bayko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klrs-ex32_1.htm"/>
      <w:bookmarkStart w:id="29" w:name="ksklrs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Kalaris Therapeutics,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1951"/>
        <w:gridCol w:w="146"/>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Oxtoby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Oxtoby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lrs-ex32_2.htm"/>
      <w:bookmarkStart w:id="31" w:name="ksklrs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Kalaris Therapeutics,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1951"/>
        <w:gridCol w:w="146"/>
        <w:gridCol w:w="406"/>
        <w:gridCol w:w="253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Liisa Bayko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Liisa Bayko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4068/000119312524253747/d870301dex21.htm" TargetMode="External"/><Relationship Id="rId3" Type="http://schemas.openxmlformats.org/officeDocument/2006/relationships/hyperlink" Target="https://www.sec.gov/Archives/edgar/data/1754068/000119312525056725/d925335dex32.htm" TargetMode="External"/><Relationship Id="rId4" Type="http://schemas.openxmlformats.org/officeDocument/2006/relationships/hyperlink" Target="https://www.sec.gov/Archives/edgar/data/1754068/000119312525056725/d925335dex33.htm" TargetMode="External"/><Relationship Id="rId5" Type="http://schemas.openxmlformats.org/officeDocument/2006/relationships/hyperlink" Target="https://www.sec.gov/Archives/edgar/data/1754068/000119312526308382/d125092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78792</Words>
  <Characters>437811</Characters>
  <CharactersWithSpaces>516923</CharactersWithSpaces>
  <Paragraphs>5704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