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34897d8k.htm"/>
      <w:bookmarkStart w:id="1" w:name="ksd34897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July 3,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KALARIS THERAPEUTICS,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001-39409</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83-1971007</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160" w:after="0"/>
        <w:jc w:val="center"/>
        <w:rPr>
          <w:rFonts w:ascii="Times New Roman" w:hAnsi="Times New Roman"/>
          <w:b/>
          <w:sz w:val="20"/>
        </w:rPr>
      </w:pPr>
      <w:r>
        <w:rPr>
          <w:rFonts w:ascii="Times New Roman" w:hAnsi="Times New Roman"/>
          <w:b/>
          <w:sz w:val="20"/>
        </w:rPr>
        <w:t>Kalaris Therapeutics, Inc.</w:t>
      </w:r>
    </w:p>
    <w:p>
      <w:pPr>
        <w:pStyle w:val="TextBody"/>
        <w:bidi w:val="0"/>
        <w:spacing w:before="0" w:after="0"/>
        <w:jc w:val="center"/>
        <w:rPr>
          <w:rFonts w:ascii="Times New Roman" w:hAnsi="Times New Roman"/>
          <w:b/>
          <w:sz w:val="20"/>
        </w:rPr>
      </w:pPr>
      <w:r>
        <w:rPr>
          <w:rFonts w:ascii="Times New Roman" w:hAnsi="Times New Roman"/>
          <w:b/>
          <w:sz w:val="20"/>
        </w:rPr>
        <w:t>400 Connell Drive, Suite 5500</w:t>
      </w:r>
    </w:p>
    <w:p>
      <w:pPr>
        <w:pStyle w:val="TextBody"/>
        <w:bidi w:val="0"/>
        <w:spacing w:before="0" w:after="0"/>
        <w:jc w:val="center"/>
        <w:rPr>
          <w:rFonts w:ascii="Times New Roman" w:hAnsi="Times New Roman"/>
          <w:b/>
          <w:sz w:val="20"/>
        </w:rPr>
      </w:pPr>
      <w:r>
        <w:rPr>
          <w:rFonts w:ascii="Times New Roman" w:hAnsi="Times New Roman"/>
          <w:b/>
          <w:sz w:val="20"/>
        </w:rPr>
        <w:t>Berkeley Heights, New Jersey 07922</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bidi w:val="0"/>
        <w:spacing w:before="160" w:after="0"/>
        <w:jc w:val="center"/>
        <w:rPr>
          <w:rFonts w:ascii="Times New Roman" w:hAnsi="Times New Roman"/>
          <w:b/>
          <w:sz w:val="20"/>
        </w:rPr>
      </w:pPr>
      <w:r>
        <w:rPr>
          <w:rFonts w:ascii="Times New Roman" w:hAnsi="Times New Roman"/>
          <w:b/>
          <w:sz w:val="20"/>
        </w:rPr>
        <w:t>(650) 249-2727</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16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755" w:type="dxa"/>
        <w:jc w:val="left"/>
        <w:tblInd w:w="0" w:type="dxa"/>
        <w:tblLayout w:type="fixed"/>
        <w:tblCellMar>
          <w:top w:w="0" w:type="dxa"/>
          <w:left w:w="0" w:type="dxa"/>
          <w:bottom w:w="0" w:type="dxa"/>
          <w:right w:w="0" w:type="dxa"/>
        </w:tblCellMar>
      </w:tblPr>
      <w:tblGrid>
        <w:gridCol w:w="4265"/>
        <w:gridCol w:w="60"/>
        <w:gridCol w:w="740"/>
        <w:gridCol w:w="60"/>
        <w:gridCol w:w="2630"/>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3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65" w:type="dxa"/>
            <w:tcBorders/>
            <w:vAlign w:val="center"/>
          </w:tcPr>
          <w:p>
            <w:pPr>
              <w:pStyle w:val="TableContents"/>
              <w:bidi w:val="0"/>
              <w:spacing w:before="0" w:after="283"/>
              <w:jc w:val="center"/>
              <w:rPr/>
            </w:pPr>
            <w:r>
              <w:rPr/>
              <w:t>Common Stock, $0.0001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KLRS</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pPr>
            <w:r>
              <w:rPr/>
              <w:t>The Nasdaq Global Market</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86"/>
        <w:gridCol w:w="9319"/>
      </w:tblGrid>
      <w:tr>
        <w:trPr/>
        <w:tc>
          <w:tcPr>
            <w:tcW w:w="886" w:type="dxa"/>
            <w:tcBorders/>
            <w:vAlign w:val="center"/>
          </w:tcPr>
          <w:p>
            <w:pPr>
              <w:pStyle w:val="TableContents"/>
              <w:bidi w:val="0"/>
              <w:spacing w:before="0" w:after="283"/>
              <w:jc w:val="left"/>
              <w:rPr>
                <w:b/>
              </w:rPr>
            </w:pPr>
            <w:r>
              <w:rPr>
                <w:b/>
              </w:rPr>
              <w:t>Item 5.02.</w:t>
            </w:r>
          </w:p>
        </w:tc>
        <w:tc>
          <w:tcPr>
            <w:tcW w:w="9319"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Resignation of Director </w:t>
      </w:r>
    </w:p>
    <w:p>
      <w:pPr>
        <w:pStyle w:val="TextBody"/>
        <w:bidi w:val="0"/>
        <w:spacing w:before="120" w:after="0"/>
        <w:jc w:val="left"/>
        <w:rPr>
          <w:rFonts w:ascii="Times New Roman" w:hAnsi="Times New Roman"/>
          <w:sz w:val="20"/>
        </w:rPr>
      </w:pPr>
      <w:r>
        <w:rPr>
          <w:rFonts w:ascii="Times New Roman" w:hAnsi="Times New Roman"/>
          <w:sz w:val="20"/>
        </w:rPr>
        <w:t xml:space="preserve">On July 3, 2026, Morana Jovan-Embiricos, Ph.D., notified Kalaris Therapeutics, Inc. (the “Company”) of her decision to resign as a member of the Company’s board of directors (the “Board”), effective immediately. With the resignation, Dr. Jovan-Embiricos also resigned as a member of the Audit Committee of the Board (the “Audit Committee”). Dr. Jovan-Embiricos informed the Company that her resignation was not related to any disagreement with the Company on any matter relating to its operations, policies or practices. </w:t>
      </w:r>
    </w:p>
    <w:p>
      <w:pPr>
        <w:pStyle w:val="TextBody"/>
        <w:bidi w:val="0"/>
        <w:spacing w:before="360" w:after="0"/>
        <w:jc w:val="left"/>
        <w:rPr>
          <w:rFonts w:ascii="Times New Roman" w:hAnsi="Times New Roman"/>
          <w:i/>
          <w:sz w:val="20"/>
        </w:rPr>
      </w:pPr>
      <w:r>
        <w:rPr>
          <w:rFonts w:ascii="Times New Roman" w:hAnsi="Times New Roman"/>
          <w:i/>
          <w:sz w:val="20"/>
        </w:rPr>
        <w:t xml:space="preserve">Election of New Director </w:t>
      </w:r>
    </w:p>
    <w:p>
      <w:pPr>
        <w:pStyle w:val="TextBody"/>
        <w:bidi w:val="0"/>
        <w:spacing w:before="120" w:after="0"/>
        <w:jc w:val="left"/>
        <w:rPr>
          <w:rFonts w:ascii="Times New Roman" w:hAnsi="Times New Roman"/>
          <w:sz w:val="20"/>
        </w:rPr>
      </w:pPr>
      <w:r>
        <w:rPr>
          <w:rFonts w:ascii="Times New Roman" w:hAnsi="Times New Roman"/>
          <w:sz w:val="20"/>
        </w:rPr>
        <w:t xml:space="preserve">On July 3, 2026, upon the recommendation of the Nominating and Corporate Governance Committee of the Board, the Board elected Laurie Keating to serve as a member of the Board, effective as of August 1, 2026. Ms. Keating will serve as a Class I director with a term expiring at the 2027 annual meeting of stockholders and thereafter until her successor has been duly elected and qualified or until her earlier resignation, death or removal. The Board also elected Ms. Keating to serve as a member of the Audit Committee, effective as of August 1, 2026. </w:t>
      </w:r>
    </w:p>
    <w:p>
      <w:pPr>
        <w:pStyle w:val="TextBody"/>
        <w:bidi w:val="0"/>
        <w:spacing w:before="240" w:after="0"/>
        <w:jc w:val="left"/>
        <w:rPr>
          <w:rFonts w:ascii="Times New Roman" w:hAnsi="Times New Roman"/>
          <w:sz w:val="20"/>
        </w:rPr>
      </w:pPr>
      <w:r>
        <w:rPr>
          <w:rFonts w:ascii="Times New Roman" w:hAnsi="Times New Roman"/>
          <w:sz w:val="20"/>
        </w:rPr>
        <w:t xml:space="preserve">There are no arrangements or understandings between Ms. Keating and any other persons pursuant to which she was elected as a director. Ms. Keating has no family relationships with any of the Company’s directors or executive officers. There are no transactions and no proposed transactions between Ms. Keating and the Company that would be required to be disclosed pursuant to Item 404(a) of Regulation S-K. </w:t>
      </w:r>
    </w:p>
    <w:p>
      <w:pPr>
        <w:pStyle w:val="TextBody"/>
        <w:bidi w:val="0"/>
        <w:spacing w:before="240" w:after="0"/>
        <w:jc w:val="left"/>
        <w:rPr>
          <w:rFonts w:ascii="Times New Roman" w:hAnsi="Times New Roman"/>
          <w:sz w:val="20"/>
        </w:rPr>
      </w:pPr>
      <w:r>
        <w:rPr>
          <w:rFonts w:ascii="Times New Roman" w:hAnsi="Times New Roman"/>
          <w:sz w:val="20"/>
        </w:rPr>
        <w:t xml:space="preserve">Ms. Keating will be entitled to compensation for her service as a non-employee director in accordance with the Company’s non-employee director compensation policy. In accordance with the policy, effective August 1, 2026 (the “Grant Date”), Ms. Keating will be granted an option to purchase 18,000 shares of the Company’s common stock at an exercise price equal to the fair market value of the Company’s common stock on the Grant Date, which option will vest in equal monthly installments from the Grant Date until the third anniversary of the Grant Date, subject to Ms. Keating’s continued service. In the event of a change in control of the Company, the vesting schedule of the option will accelerate in full. In addition, Ms. Keating will receive annual cash compensation of $40,000 as a member of the Board, additional annual cash compensation of $7,500 as a member of the Audit Committee, annual equity grants in accordance with the non-employee director compensation policy and reimbursement for reasonable travel and out-of-pocket expenses incurred in connection with attending Board and committee meetings. </w:t>
      </w:r>
    </w:p>
    <w:p>
      <w:pPr>
        <w:pStyle w:val="TextBody"/>
        <w:bidi w:val="0"/>
        <w:spacing w:before="240" w:after="0"/>
        <w:jc w:val="left"/>
        <w:rPr>
          <w:rFonts w:ascii="Times New Roman" w:hAnsi="Times New Roman"/>
          <w:sz w:val="20"/>
        </w:rPr>
      </w:pPr>
      <w:r>
        <w:rPr>
          <w:rFonts w:ascii="Times New Roman" w:hAnsi="Times New Roman"/>
          <w:sz w:val="20"/>
        </w:rPr>
        <w:t xml:space="preserve">Ms. Keating will enter into the Company’s standard form of indemnification agreement, a copy of which was filed as Exhibit 10.6 to the Company’s Current Report on Form 8-K (File No. 001-39409) filed with the Securities and Exchange Commission on March 18, 2025. Pursuant to the terms of the indemnification agreement, the Company may be required, among other things, to indemnify Ms. Keating for certain expenses, including attorneys’ fees, judgments, fines and settlement amounts incurred by her in any action or proceeding arising out of her service as a director of the Company.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398" w:type="dxa"/>
        <w:jc w:val="left"/>
        <w:tblInd w:w="0" w:type="dxa"/>
        <w:tblLayout w:type="fixed"/>
        <w:tblCellMar>
          <w:top w:w="0" w:type="dxa"/>
          <w:left w:w="0" w:type="dxa"/>
          <w:bottom w:w="0" w:type="dxa"/>
          <w:right w:w="0" w:type="dxa"/>
        </w:tblCellMar>
      </w:tblPr>
      <w:tblGrid>
        <w:gridCol w:w="1775"/>
        <w:gridCol w:w="60"/>
        <w:gridCol w:w="23"/>
        <w:gridCol w:w="60"/>
        <w:gridCol w:w="650"/>
        <w:gridCol w:w="60"/>
        <w:gridCol w:w="3770"/>
      </w:tblGrid>
      <w:tr>
        <w:trPr/>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70" w:type="dxa"/>
            <w:tcBorders/>
            <w:vAlign w:val="center"/>
          </w:tcPr>
          <w:p>
            <w:pPr>
              <w:pStyle w:val="TableContents"/>
              <w:bidi w:val="0"/>
              <w:spacing w:before="0" w:after="283"/>
              <w:jc w:val="left"/>
              <w:rPr>
                <w:sz w:val="4"/>
                <w:szCs w:val="4"/>
              </w:rPr>
            </w:pPr>
            <w:r>
              <w:rPr>
                <w:sz w:val="4"/>
                <w:szCs w:val="4"/>
              </w:rPr>
            </w:r>
          </w:p>
        </w:tc>
      </w:tr>
      <w:tr>
        <w:trPr/>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770" w:type="dxa"/>
            <w:tcBorders/>
            <w:vAlign w:val="center"/>
          </w:tcPr>
          <w:p>
            <w:pPr>
              <w:pStyle w:val="TableContents"/>
              <w:bidi w:val="0"/>
              <w:spacing w:before="0" w:after="283"/>
              <w:jc w:val="left"/>
              <w:rPr>
                <w:b/>
              </w:rPr>
            </w:pPr>
            <w:r>
              <w:rPr>
                <w:b/>
              </w:rPr>
              <w:t>KALARIS THERAPEUTICS, INC.</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3830" w:type="dxa"/>
            <w:gridSpan w:val="2"/>
            <w:tcBorders/>
            <w:vAlign w:val="center"/>
          </w:tcPr>
          <w:p>
            <w:pPr>
              <w:pStyle w:val="TableContents"/>
              <w:bidi w:val="0"/>
              <w:spacing w:before="0" w:after="283"/>
              <w:jc w:val="left"/>
              <w:rPr>
                <w:sz w:val="4"/>
                <w:szCs w:val="4"/>
              </w:rPr>
            </w:pPr>
            <w:r>
              <w:rPr>
                <w:sz w:val="4"/>
                <w:szCs w:val="4"/>
              </w:rPr>
            </w:r>
          </w:p>
        </w:tc>
      </w:tr>
      <w:tr>
        <w:trPr/>
        <w:tc>
          <w:tcPr>
            <w:tcW w:w="1775" w:type="dxa"/>
            <w:tcBorders/>
            <w:vAlign w:val="center"/>
          </w:tcPr>
          <w:p>
            <w:pPr>
              <w:pStyle w:val="TableContents"/>
              <w:bidi w:val="0"/>
              <w:spacing w:before="0" w:after="283"/>
              <w:jc w:val="left"/>
              <w:rPr/>
            </w:pPr>
            <w:r>
              <w:rPr/>
              <w:t>Date: July 6,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77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Andrew Oxtoby</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3770" w:type="dxa"/>
            <w:tcBorders/>
            <w:vAlign w:val="center"/>
          </w:tcPr>
          <w:p>
            <w:pPr>
              <w:pStyle w:val="TableContents"/>
              <w:bidi w:val="0"/>
              <w:spacing w:before="0" w:after="283"/>
              <w:jc w:val="left"/>
              <w:rPr/>
            </w:pPr>
            <w:r>
              <w:rPr/>
              <w:t>Andrew Oxtoby</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3770" w:type="dxa"/>
            <w:tcBorders/>
            <w:vAlign w:val="center"/>
          </w:tcPr>
          <w:p>
            <w:pPr>
              <w:pStyle w:val="TableContents"/>
              <w:bidi w:val="0"/>
              <w:spacing w:before="0" w:after="283"/>
              <w:jc w:val="left"/>
              <w:rPr/>
            </w:pPr>
            <w:r>
              <w:rPr/>
              <w:t>Chief Executive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894</Words>
  <Characters>4843</Characters>
  <CharactersWithSpaces>5724</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