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Vandekop Amy O'Leary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KALARIS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CONNELL DRIVE, SUITE 5500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 HEIGHTS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Kalaris Therapeutics, Inc.</w:t>
              </w:r>
            </w:hyperlink>
            <w:r>
              <w:rPr/>
              <w:t xml:space="preserve"> [ </w:t>
            </w:r>
            <w:r>
              <w:rPr>
                <w:rFonts w:ascii="Times;serif" w:hAnsi="Times;serif"/>
                <w:color w:val="0000FF"/>
                <w:sz w:val="24"/>
                <w:shd w:fill="FFFFFF" w:val="clear"/>
              </w:rPr>
              <w:t>KLRS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04/09/2035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27,415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April 10, 2025. The shares underlying the option vested with respect to 25% of the shares on March 18, 2026 and the remainder are scheduled to vest in equal monthly installments through March 18,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was granted on March 19, 2026. The shares underlying the option are scheduled to vest with respect to 25% of the shares on March 19, 2027 and the remainder are scheduled to vest in equal monthly installments through March 19,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 Associate VP, Corporate Controller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Oxtoby,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klrs-ex24_1.htm"/>
      <w:bookmarkStart w:id="3" w:name="ksklrsex24_1"/>
      <w:bookmarkEnd w:id="2"/>
      <w:bookmarkEnd w:id="3"/>
      <w:r>
        <w:rPr/>
        <w:t> </w:t>
      </w:r>
      <w:r>
        <w:br w:type="page"/>
      </w:r>
    </w:p>
    <w:p>
      <w:pPr>
        <w:pStyle w:val="TextBody"/>
        <w:bidi w:val="0"/>
        <w:spacing w:before="0" w:after="210"/>
        <w:jc w:val="center"/>
        <w:rPr>
          <w:rFonts w:ascii="Arial" w:hAnsi="Arial"/>
          <w:b/>
          <w:color w:val="000000"/>
          <w:sz w:val="19"/>
        </w:rPr>
      </w:pPr>
      <w:r>
        <w:rPr>
          <w:rFonts w:ascii="Arial" w:hAnsi="Arial"/>
          <w:b/>
          <w:color w:val="000000"/>
          <w:sz w:val="19"/>
        </w:rPr>
        <w:t>POWER OF ATTORNEY</w:t>
      </w:r>
    </w:p>
    <w:p>
      <w:pPr>
        <w:pStyle w:val="TextBody"/>
        <w:bidi w:val="0"/>
        <w:spacing w:before="0" w:after="210"/>
        <w:jc w:val="both"/>
        <w:rPr>
          <w:rFonts w:ascii="Arial" w:hAnsi="Arial"/>
          <w:color w:val="000000"/>
          <w:sz w:val="20"/>
        </w:rPr>
      </w:pPr>
      <w:r>
        <w:rPr>
          <w:rFonts w:ascii="Arial" w:hAnsi="Arial"/>
          <w:color w:val="000000"/>
          <w:sz w:val="20"/>
        </w:rPr>
        <w:t>The undersigned hereby makes, constitutes and appoints each of Andrew Oxtoby and Liisa Bayko, or either of them acting singly, and with full power of substitution, re-substitution and delegation, the undersigned’s true and lawful attorney</w:t>
        <w:noBreakHyphen/>
        <w:t>in</w:t>
        <w:noBreakHyphen/>
        <w:t>fact (each of such persons and their substitutes and delegees being referred to herein as the "Attorney-in-Fact"), with full power to act for the undersigned and in the undersigned's name, place and stead, in the undersigned’s capacity as an officer, director or stockholder of Kalaris Therapeutics, Inc. (the “Company”), to:</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Arial" w:hAnsi="Arial"/>
          <w:color w:val="000000"/>
          <w:sz w:val="20"/>
        </w:rPr>
      </w:pPr>
      <w:r>
        <w:rPr>
          <w:rFonts w:ascii="Arial" w:hAnsi="Arial"/>
          <w:color w:val="000000"/>
          <w:sz w:val="20"/>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Arial" w:hAnsi="Arial"/>
          <w:color w:val="000000"/>
          <w:sz w:val="20"/>
        </w:rPr>
      </w:pPr>
      <w:r>
        <w:rPr>
          <w:rFonts w:ascii="Arial" w:hAnsi="Arial"/>
          <w:color w:val="000000"/>
          <w:sz w:val="20"/>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240"/>
        <w:jc w:val="both"/>
        <w:rPr>
          <w:rFonts w:ascii="Arial" w:hAnsi="Arial"/>
          <w:color w:val="000000"/>
          <w:sz w:val="21"/>
        </w:rPr>
      </w:pPr>
      <w:r>
        <w:rPr>
          <w:rFonts w:ascii="Arial" w:hAnsi="Arial"/>
          <w:color w:val="000000"/>
          <w:sz w:val="21"/>
        </w:rPr>
        <w:t>3.</w:t>
      </w:r>
    </w:p>
    <w:p>
      <w:pPr>
        <w:pStyle w:val="TextBody"/>
        <w:bidi w:val="0"/>
        <w:spacing w:before="0" w:after="240"/>
        <w:jc w:val="both"/>
        <w:rPr/>
      </w:pPr>
      <w:r>
        <w:rPr>
          <w:rFonts w:ascii="Arial" w:hAnsi="Arial"/>
          <w:color w:val="000000"/>
          <w:sz w:val="20"/>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Arial" w:hAnsi="Arial"/>
          <w:color w:val="000000"/>
          <w:sz w:val="20"/>
          <w:u w:val="single"/>
        </w:rPr>
        <w:t>Section 5</w:t>
      </w:r>
      <w:r>
        <w:rPr>
          <w:color w:val="000000"/>
        </w:rPr>
        <w:t xml:space="preserve"> </w:t>
      </w:r>
      <w:r>
        <w:rPr>
          <w:rFonts w:ascii="Arial" w:hAnsi="Arial"/>
          <w:color w:val="000000"/>
          <w:sz w:val="20"/>
        </w:rPr>
        <w:t>below;</w:t>
      </w:r>
    </w:p>
    <w:p>
      <w:pPr>
        <w:pStyle w:val="TextBody"/>
        <w:bidi w:val="0"/>
        <w:spacing w:before="0" w:after="240"/>
        <w:jc w:val="both"/>
        <w:rPr>
          <w:rFonts w:ascii="Arial" w:hAnsi="Arial"/>
          <w:color w:val="000000"/>
          <w:sz w:val="21"/>
        </w:rPr>
      </w:pPr>
      <w:r>
        <w:rPr>
          <w:rFonts w:ascii="Arial" w:hAnsi="Arial"/>
          <w:color w:val="000000"/>
          <w:sz w:val="21"/>
        </w:rPr>
        <w:t>4.</w:t>
      </w:r>
    </w:p>
    <w:p>
      <w:pPr>
        <w:pStyle w:val="TextBody"/>
        <w:bidi w:val="0"/>
        <w:spacing w:before="0" w:after="240"/>
        <w:jc w:val="both"/>
        <w:rPr>
          <w:rFonts w:ascii="Arial" w:hAnsi="Arial"/>
          <w:color w:val="000000"/>
          <w:sz w:val="20"/>
        </w:rPr>
      </w:pPr>
      <w:r>
        <w:rPr>
          <w:rFonts w:ascii="Arial" w:hAnsi="Arial"/>
          <w:color w:val="000000"/>
          <w:sz w:val="20"/>
        </w:rPr>
        <w:t>File, submit or otherwise deliver SEC Filings to any securities exchange on which the Company’s securities may be listed or traded;</w:t>
      </w:r>
    </w:p>
    <w:p>
      <w:pPr>
        <w:pStyle w:val="TextBody"/>
        <w:bidi w:val="0"/>
        <w:spacing w:before="0" w:after="240"/>
        <w:jc w:val="both"/>
        <w:rPr>
          <w:rFonts w:ascii="Arial" w:hAnsi="Arial"/>
          <w:color w:val="000000"/>
          <w:sz w:val="21"/>
        </w:rPr>
      </w:pPr>
      <w:r>
        <w:rPr>
          <w:rFonts w:ascii="Arial" w:hAnsi="Arial"/>
          <w:color w:val="000000"/>
          <w:sz w:val="21"/>
        </w:rPr>
        <w:t>5.</w:t>
      </w:r>
    </w:p>
    <w:p>
      <w:pPr>
        <w:pStyle w:val="TextBody"/>
        <w:bidi w:val="0"/>
        <w:spacing w:before="0" w:after="240"/>
        <w:jc w:val="both"/>
        <w:rPr>
          <w:rFonts w:ascii="Arial" w:hAnsi="Arial"/>
          <w:color w:val="000000"/>
          <w:sz w:val="20"/>
        </w:rPr>
      </w:pPr>
      <w:r>
        <w:rPr>
          <w:rFonts w:ascii="Arial" w:hAnsi="Arial"/>
          <w:color w:val="000000"/>
          <w:sz w:val="20"/>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spacing w:before="0" w:after="240"/>
        <w:jc w:val="both"/>
        <w:rPr>
          <w:rFonts w:ascii="Arial" w:hAnsi="Arial"/>
          <w:color w:val="000000"/>
          <w:sz w:val="21"/>
        </w:rPr>
      </w:pPr>
      <w:r>
        <w:rPr>
          <w:rFonts w:ascii="Arial" w:hAnsi="Arial"/>
          <w:color w:val="000000"/>
          <w:sz w:val="21"/>
        </w:rPr>
        <w:t>6.</w:t>
      </w:r>
    </w:p>
    <w:p>
      <w:pPr>
        <w:pStyle w:val="TextBody"/>
        <w:bidi w:val="0"/>
        <w:spacing w:before="0" w:after="240"/>
        <w:jc w:val="both"/>
        <w:rPr>
          <w:rFonts w:ascii="Arial" w:hAnsi="Arial"/>
          <w:color w:val="000000"/>
          <w:sz w:val="20"/>
        </w:rPr>
      </w:pPr>
      <w:r>
        <w:rPr>
          <w:rFonts w:ascii="Arial" w:hAnsi="Arial"/>
          <w:color w:val="000000"/>
          <w:sz w:val="20"/>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240"/>
        <w:jc w:val="both"/>
        <w:rPr>
          <w:rFonts w:ascii="Arial" w:hAnsi="Arial"/>
          <w:color w:val="000000"/>
          <w:sz w:val="21"/>
        </w:rPr>
      </w:pPr>
      <w:r>
        <w:rPr>
          <w:rFonts w:ascii="Arial" w:hAnsi="Arial"/>
          <w:color w:val="000000"/>
          <w:sz w:val="21"/>
        </w:rPr>
        <w:t>7.</w:t>
      </w:r>
    </w:p>
    <w:p>
      <w:pPr>
        <w:pStyle w:val="TextBody"/>
        <w:bidi w:val="0"/>
        <w:spacing w:before="0" w:after="240"/>
        <w:jc w:val="both"/>
        <w:rPr>
          <w:rFonts w:ascii="Arial" w:hAnsi="Arial"/>
          <w:color w:val="000000"/>
          <w:sz w:val="20"/>
        </w:rPr>
      </w:pPr>
      <w:r>
        <w:rPr>
          <w:rFonts w:ascii="Arial" w:hAnsi="Arial"/>
          <w:color w:val="000000"/>
          <w:sz w:val="20"/>
        </w:rPr>
        <w:t xml:space="preserve">Obtain, as the undersigned's representative and on the undersigned's behalf, information regarding transactions in the Company's equity securities from any third party, including the Company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any brokers, dealers, employee benefit plan administrators and trustees, and the undersigned hereby authorizes any such third party to release any such information to the Attorney-in-Fact.</w:t>
      </w:r>
    </w:p>
    <w:p>
      <w:pPr>
        <w:pStyle w:val="TextBody"/>
        <w:bidi w:val="0"/>
        <w:spacing w:before="0" w:after="210"/>
        <w:jc w:val="both"/>
        <w:rPr>
          <w:rFonts w:ascii="Arial" w:hAnsi="Arial"/>
          <w:color w:val="000000"/>
          <w:sz w:val="20"/>
        </w:rPr>
      </w:pPr>
      <w:r>
        <w:rPr>
          <w:rFonts w:ascii="Arial" w:hAnsi="Arial"/>
          <w:color w:val="000000"/>
          <w:sz w:val="20"/>
        </w:rPr>
        <w:t>The undersigned acknowledges that:</w:t>
      </w:r>
    </w:p>
    <w:p>
      <w:pPr>
        <w:pStyle w:val="TextBody"/>
        <w:bidi w:val="0"/>
        <w:spacing w:before="0" w:after="240"/>
        <w:jc w:val="both"/>
        <w:rPr>
          <w:rFonts w:ascii="Arial" w:hAnsi="Arial"/>
          <w:color w:val="000000"/>
          <w:sz w:val="21"/>
        </w:rPr>
      </w:pPr>
      <w:r>
        <w:rPr>
          <w:rFonts w:ascii="Arial" w:hAnsi="Arial"/>
          <w:color w:val="000000"/>
          <w:sz w:val="21"/>
        </w:rPr>
        <w:t>a)</w:t>
      </w:r>
    </w:p>
    <w:p>
      <w:pPr>
        <w:pStyle w:val="TextBody"/>
        <w:bidi w:val="0"/>
        <w:spacing w:before="0" w:after="240"/>
        <w:jc w:val="both"/>
        <w:rPr>
          <w:rFonts w:ascii="Arial" w:hAnsi="Arial"/>
          <w:color w:val="000000"/>
          <w:sz w:val="20"/>
        </w:rPr>
      </w:pPr>
      <w:r>
        <w:rPr>
          <w:rFonts w:ascii="Arial" w:hAnsi="Arial"/>
          <w:color w:val="000000"/>
          <w:sz w:val="20"/>
        </w:rPr>
        <w:t>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both"/>
        <w:rPr>
          <w:rFonts w:ascii="Arial" w:hAnsi="Arial"/>
          <w:color w:val="000000"/>
          <w:sz w:val="20"/>
        </w:rPr>
      </w:pPr>
      <w:r>
        <w:rPr>
          <w:rFonts w:ascii="Arial" w:hAnsi="Arial"/>
          <w:color w:val="000000"/>
          <w:sz w:val="20"/>
        </w:rPr>
        <w:t>b)</w:t>
      </w:r>
    </w:p>
    <w:p>
      <w:pPr>
        <w:pStyle w:val="TextBody"/>
        <w:bidi w:val="0"/>
        <w:spacing w:before="0" w:after="240"/>
        <w:jc w:val="both"/>
        <w:rPr>
          <w:rFonts w:ascii="Arial" w:hAnsi="Arial"/>
          <w:color w:val="000000"/>
          <w:sz w:val="20"/>
        </w:rPr>
      </w:pPr>
      <w:r>
        <w:rPr>
          <w:rFonts w:ascii="Arial" w:hAnsi="Arial"/>
          <w:color w:val="000000"/>
          <w:sz w:val="20"/>
        </w:rPr>
        <w:t>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both"/>
        <w:rPr>
          <w:rFonts w:ascii="Arial" w:hAnsi="Arial"/>
          <w:color w:val="000000"/>
          <w:sz w:val="20"/>
        </w:rPr>
      </w:pPr>
      <w:r>
        <w:rPr>
          <w:rFonts w:ascii="Arial" w:hAnsi="Arial"/>
          <w:color w:val="000000"/>
          <w:sz w:val="20"/>
        </w:rPr>
        <w:t>c)</w:t>
      </w:r>
    </w:p>
    <w:p>
      <w:pPr>
        <w:pStyle w:val="TextBody"/>
        <w:bidi w:val="0"/>
        <w:spacing w:before="0" w:after="240"/>
        <w:jc w:val="both"/>
        <w:rPr>
          <w:rFonts w:ascii="Arial" w:hAnsi="Arial"/>
          <w:color w:val="000000"/>
          <w:sz w:val="20"/>
        </w:rPr>
      </w:pPr>
      <w:r>
        <w:rPr>
          <w:rFonts w:ascii="Arial" w:hAnsi="Arial"/>
          <w:color w:val="000000"/>
          <w:sz w:val="20"/>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both"/>
        <w:rPr>
          <w:rFonts w:ascii="Arial" w:hAnsi="Arial"/>
          <w:color w:val="000000"/>
          <w:sz w:val="20"/>
        </w:rPr>
      </w:pPr>
      <w:r>
        <w:rPr>
          <w:rFonts w:ascii="Arial" w:hAnsi="Arial"/>
          <w:color w:val="000000"/>
          <w:sz w:val="20"/>
        </w:rPr>
        <w:t>d)</w:t>
      </w:r>
    </w:p>
    <w:p>
      <w:pPr>
        <w:pStyle w:val="TextBody"/>
        <w:bidi w:val="0"/>
        <w:spacing w:before="0" w:after="240"/>
        <w:jc w:val="both"/>
        <w:rPr>
          <w:rFonts w:ascii="Arial" w:hAnsi="Arial"/>
          <w:color w:val="000000"/>
          <w:sz w:val="20"/>
        </w:rPr>
      </w:pPr>
      <w:r>
        <w:rPr>
          <w:rFonts w:ascii="Arial" w:hAnsi="Arial"/>
          <w:color w:val="000000"/>
          <w:sz w:val="20"/>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10"/>
        <w:jc w:val="both"/>
        <w:rPr>
          <w:rFonts w:ascii="Arial" w:hAnsi="Arial"/>
          <w:color w:val="000000"/>
          <w:sz w:val="20"/>
        </w:rPr>
      </w:pPr>
      <w:r>
        <w:rPr>
          <w:rFonts w:ascii="Arial" w:hAnsi="Arial"/>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210"/>
        <w:jc w:val="both"/>
        <w:rPr>
          <w:rFonts w:ascii="Arial" w:hAnsi="Arial"/>
          <w:color w:val="000000"/>
          <w:sz w:val="20"/>
        </w:rPr>
      </w:pPr>
      <w:r>
        <w:rPr>
          <w:rFonts w:ascii="Arial" w:hAnsi="Arial"/>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210"/>
        <w:jc w:val="both"/>
        <w:rPr>
          <w:rFonts w:ascii="Arial" w:hAnsi="Arial"/>
          <w:color w:val="000000"/>
          <w:sz w:val="20"/>
        </w:rPr>
      </w:pPr>
      <w:r>
        <w:rPr>
          <w:rFonts w:ascii="Arial" w:hAnsi="Arial"/>
          <w:color w:val="000000"/>
          <w:sz w:val="20"/>
        </w:rPr>
        <w:t>IN WITNESS WHEREOF, the undersigned has executed this Power of Attorney as of July 27, 2026.</w:t>
      </w:r>
    </w:p>
    <w:p>
      <w:pPr>
        <w:pStyle w:val="TextBody"/>
        <w:bidi w:val="0"/>
        <w:jc w:val="both"/>
        <w:rPr/>
      </w:pPr>
      <w:r>
        <w:rPr/>
        <w:t> </w:t>
      </w:r>
    </w:p>
    <w:tbl>
      <w:tblPr>
        <w:tblW w:w="4673" w:type="dxa"/>
        <w:jc w:val="left"/>
        <w:tblInd w:w="0" w:type="dxa"/>
        <w:tblLayout w:type="fixed"/>
        <w:tblCellMar>
          <w:top w:w="28" w:type="dxa"/>
          <w:left w:w="28" w:type="dxa"/>
          <w:bottom w:w="28" w:type="dxa"/>
          <w:right w:w="28" w:type="dxa"/>
        </w:tblCellMar>
      </w:tblPr>
      <w:tblGrid>
        <w:gridCol w:w="1241"/>
        <w:gridCol w:w="2161"/>
        <w:gridCol w:w="1271"/>
      </w:tblGrid>
      <w:tr>
        <w:trPr/>
        <w:tc>
          <w:tcPr>
            <w:tcW w:w="124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Amy Vandekop</w:t>
            </w:r>
          </w:p>
        </w:tc>
        <w:tc>
          <w:tcPr>
            <w:tcW w:w="1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41" w:type="dxa"/>
            <w:tcBorders/>
            <w:tcMar>
              <w:top w:w="0" w:type="dxa"/>
              <w:left w:w="0" w:type="dxa"/>
              <w:bottom w:w="0" w:type="dxa"/>
              <w:right w:w="0" w:type="dxa"/>
            </w:tcMar>
            <w:vAlign w:val="center"/>
          </w:tcPr>
          <w:p>
            <w:pPr>
              <w:pStyle w:val="TableContents"/>
              <w:bidi w:val="0"/>
              <w:spacing w:before="0" w:after="283"/>
              <w:ind w:left="0" w:right="0" w:firstLine="1080"/>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ind w:left="0" w:right="0" w:firstLine="1080"/>
              <w:jc w:val="both"/>
              <w:rPr>
                <w:rFonts w:ascii="Arial" w:hAnsi="Arial"/>
                <w:color w:val="000000"/>
                <w:sz w:val="20"/>
              </w:rPr>
            </w:pPr>
            <w:r>
              <w:rPr>
                <w:rFonts w:ascii="Arial" w:hAnsi="Arial"/>
                <w:color w:val="000000"/>
                <w:sz w:val="20"/>
              </w:rPr>
              <w:t>Signature</w:t>
            </w:r>
          </w:p>
        </w:tc>
        <w:tc>
          <w:tcPr>
            <w:tcW w:w="1271" w:type="dxa"/>
            <w:tcBorders/>
            <w:tcMar>
              <w:top w:w="0" w:type="dxa"/>
              <w:left w:w="0" w:type="dxa"/>
              <w:bottom w:w="0" w:type="dxa"/>
              <w:right w:w="0" w:type="dxa"/>
            </w:tcMar>
            <w:vAlign w:val="center"/>
          </w:tcPr>
          <w:p>
            <w:pPr>
              <w:pStyle w:val="TableContents"/>
              <w:bidi w:val="0"/>
              <w:spacing w:before="0" w:after="283"/>
              <w:ind w:left="0" w:right="0" w:firstLine="1080"/>
              <w:jc w:val="both"/>
              <w:rPr/>
            </w:pPr>
            <w:r>
              <w:rPr/>
              <w:t> </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Amy Vandekop</w:t>
            </w:r>
          </w:p>
        </w:tc>
        <w:tc>
          <w:tcPr>
            <w:tcW w:w="1271"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r>
      <w:tr>
        <w:trPr/>
        <w:tc>
          <w:tcPr>
            <w:tcW w:w="1241" w:type="dxa"/>
            <w:tcBorders/>
            <w:tcMar>
              <w:top w:w="0" w:type="dxa"/>
              <w:left w:w="0" w:type="dxa"/>
              <w:bottom w:w="0" w:type="dxa"/>
              <w:right w:w="0" w:type="dxa"/>
            </w:tcMar>
            <w:vAlign w:val="center"/>
          </w:tcPr>
          <w:p>
            <w:pPr>
              <w:pStyle w:val="TableContents"/>
              <w:bidi w:val="0"/>
              <w:spacing w:before="0" w:after="283"/>
              <w:ind w:left="0" w:right="0" w:firstLine="1080"/>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ind w:left="0" w:right="0" w:firstLine="1080"/>
              <w:jc w:val="both"/>
              <w:rPr>
                <w:rFonts w:ascii="Arial" w:hAnsi="Arial"/>
                <w:color w:val="000000"/>
                <w:sz w:val="20"/>
              </w:rPr>
            </w:pPr>
            <w:r>
              <w:rPr>
                <w:rFonts w:ascii="Arial" w:hAnsi="Arial"/>
                <w:color w:val="000000"/>
                <w:sz w:val="20"/>
              </w:rPr>
              <w:t>Print Name</w:t>
            </w:r>
          </w:p>
        </w:tc>
        <w:tc>
          <w:tcPr>
            <w:tcW w:w="1271" w:type="dxa"/>
            <w:tcBorders/>
            <w:tcMar>
              <w:top w:w="0" w:type="dxa"/>
              <w:left w:w="0" w:type="dxa"/>
              <w:bottom w:w="0" w:type="dxa"/>
              <w:right w:w="0" w:type="dxa"/>
            </w:tcMar>
            <w:vAlign w:val="center"/>
          </w:tcPr>
          <w:p>
            <w:pPr>
              <w:pStyle w:val="TableContents"/>
              <w:bidi w:val="0"/>
              <w:spacing w:before="0" w:after="283"/>
              <w:ind w:left="0" w:right="0" w:firstLine="1080"/>
              <w:jc w:val="both"/>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984" TargetMode="External"/><Relationship Id="rId3" Type="http://schemas.openxmlformats.org/officeDocument/2006/relationships/hyperlink" Target="http://www.sec.gov/cgi-bin/browse-edgar?action=getcompany&amp;CIK=000175406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1466</Words>
  <Characters>7953</Characters>
  <CharactersWithSpaces>9339</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