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Ferrara Napoleone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KALARIS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CONNELL DRIVE, SUITE 5500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BERKELEY HEIGHTS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Kalaris Therapeutics, Inc.</w:t>
              </w:r>
            </w:hyperlink>
            <w:r>
              <w:rPr/>
              <w:t xml:space="preserve"> [ </w:t>
            </w:r>
            <w:r>
              <w:rPr>
                <w:rFonts w:ascii="Times;serif" w:hAnsi="Times;serif"/>
                <w:color w:val="0000FF"/>
                <w:sz w:val="24"/>
                <w:shd w:fill="FFFFFF" w:val="clear"/>
              </w:rPr>
              <w:t>KLRS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4.72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was granted on June 3, 2026. The shares underlying the option are scheduled to vest in full on the earlier of (i) June 3, 2027 or (ii) the date of the Issuer's 2027 Annual Meeting of Stockholders, subject to continued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Brett Hagen,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4779" TargetMode="External"/><Relationship Id="rId5" Type="http://schemas.openxmlformats.org/officeDocument/2006/relationships/hyperlink" Target="http://www.sec.gov/cgi-bin/browse-edgar?action=getcompany&amp;CIK=00017540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3313</Characters>
  <CharactersWithSpaces>3865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